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5E6C" w:rsidRPr="00232E07" w:rsidRDefault="00AA5E6C" w:rsidP="00AA5E6C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60"/>
      <w:r>
        <w:rPr>
          <w:noProof/>
          <w:lang w:val="ru-RU"/>
        </w:rPr>
        <w:t>Вариант 60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A3339A">
        <w:rPr>
          <w:lang w:val="ru-RU"/>
        </w:rPr>
        <w:t xml:space="preserve">Вагоноремонтный завод </w:t>
      </w:r>
      <w:r w:rsidRPr="00A3339A">
        <w:rPr>
          <w:sz w:val="28"/>
          <w:lang w:val="ru-RU"/>
        </w:rPr>
        <w:t>(****)</w:t>
      </w:r>
      <w:bookmarkEnd w:id="4"/>
    </w:p>
    <w:p w:rsidR="00AA5E6C" w:rsidRPr="005A6787" w:rsidRDefault="00AA5E6C" w:rsidP="00AA5E6C">
      <w:pPr>
        <w:rPr>
          <w:lang w:val="ru-RU"/>
        </w:rPr>
      </w:pPr>
    </w:p>
    <w:p w:rsidR="00AA5E6C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Компания занимается ремонтом вагонов и может осуществлять капитальный ремонт 4-осных и 8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>осных цистерн, полувагонов и вагонов-хопперов  или депо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 xml:space="preserve">ремонт всех видов вагонов. 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Кроме того, при условии инвестирования в развитие производства Компания способна производить новые вагоны-цистерны разным диаметром котла (3,0м и 3,2м) и полувагоны.</w:t>
      </w:r>
    </w:p>
    <w:p w:rsidR="00AA5E6C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Инвестиции в развитие производства вагонов-цистерн составляют</w:t>
      </w:r>
      <w:r>
        <w:rPr>
          <w:noProof/>
          <w:lang w:val="ru-RU"/>
        </w:rPr>
        <w:t>:</w:t>
      </w:r>
    </w:p>
    <w:p w:rsidR="00AA5E6C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20 млн. руб. в производство вагона-цистерны с котлом диаметром 3,0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 xml:space="preserve">м; </w:t>
      </w:r>
    </w:p>
    <w:p w:rsidR="00AA5E6C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 xml:space="preserve">100 млн. в производство вагонов-цистерн диаметром котла 3,0 и 3,2 м; 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300 млн. руб. в производство полувагонов.</w:t>
      </w:r>
    </w:p>
    <w:p w:rsidR="00AA5E6C" w:rsidRDefault="00AA5E6C" w:rsidP="00AA5E6C">
      <w:pPr>
        <w:ind w:firstLine="426"/>
        <w:rPr>
          <w:noProof/>
          <w:lang w:val="ru-RU"/>
        </w:rPr>
      </w:pPr>
    </w:p>
    <w:p w:rsidR="00AA5E6C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 xml:space="preserve">Исторически спрос на услуги Компании формировался на основе внутрикорпоративных связей внутри группы РЖД и составлял ежегодно от 2000 до 3000 капитальных ремонтов в год. Постоянные издержки компании  составляют около 28 млн./месяц. </w:t>
      </w:r>
      <w:r>
        <w:rPr>
          <w:noProof/>
          <w:lang w:val="ru-RU"/>
        </w:rPr>
        <w:t>Проработаны планы</w:t>
      </w:r>
      <w:r w:rsidRPr="009B53A5">
        <w:rPr>
          <w:noProof/>
          <w:lang w:val="ru-RU"/>
        </w:rPr>
        <w:t xml:space="preserve"> сократить постоянные издержки на 10% </w:t>
      </w:r>
      <w:r>
        <w:rPr>
          <w:noProof/>
          <w:lang w:val="ru-RU"/>
        </w:rPr>
        <w:t>или</w:t>
      </w:r>
      <w:r w:rsidRPr="009B53A5">
        <w:rPr>
          <w:noProof/>
          <w:lang w:val="ru-RU"/>
        </w:rPr>
        <w:t xml:space="preserve"> на 20%. </w:t>
      </w:r>
    </w:p>
    <w:p w:rsidR="00AA5E6C" w:rsidRDefault="00AA5E6C" w:rsidP="00AA5E6C">
      <w:pPr>
        <w:ind w:firstLine="426"/>
        <w:rPr>
          <w:noProof/>
          <w:lang w:val="ru-RU"/>
        </w:rPr>
      </w:pPr>
      <w:r>
        <w:rPr>
          <w:noProof/>
          <w:lang w:val="ru-RU"/>
        </w:rPr>
        <w:t>О</w:t>
      </w:r>
      <w:r w:rsidRPr="009B53A5">
        <w:rPr>
          <w:noProof/>
          <w:lang w:val="ru-RU"/>
        </w:rPr>
        <w:t xml:space="preserve">тказ от сокращения постоянных издержек не позволяет выполнять </w:t>
      </w:r>
      <w:r>
        <w:rPr>
          <w:noProof/>
          <w:lang w:val="ru-RU"/>
        </w:rPr>
        <w:t xml:space="preserve">дополнительные </w:t>
      </w:r>
      <w:r w:rsidRPr="009B53A5">
        <w:rPr>
          <w:noProof/>
          <w:lang w:val="ru-RU"/>
        </w:rPr>
        <w:t>депо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>ремонт</w:t>
      </w:r>
      <w:r>
        <w:rPr>
          <w:noProof/>
          <w:lang w:val="ru-RU"/>
        </w:rPr>
        <w:t>ы</w:t>
      </w:r>
      <w:r w:rsidRPr="009B53A5">
        <w:rPr>
          <w:noProof/>
          <w:lang w:val="ru-RU"/>
        </w:rPr>
        <w:t>.</w:t>
      </w:r>
    </w:p>
    <w:p w:rsidR="00AA5E6C" w:rsidRDefault="00AA5E6C" w:rsidP="00AA5E6C">
      <w:pPr>
        <w:ind w:firstLine="426"/>
        <w:rPr>
          <w:noProof/>
          <w:lang w:val="ru-RU"/>
        </w:rPr>
      </w:pPr>
      <w:r w:rsidRPr="00D440A5">
        <w:rPr>
          <w:noProof/>
          <w:lang w:val="ru-RU"/>
        </w:rPr>
        <w:t>Сокращение постоянных издержек на 10% предполагает как возможность включения 1000 депо</w:t>
      </w:r>
      <w:r>
        <w:rPr>
          <w:noProof/>
          <w:lang w:val="ru-RU"/>
        </w:rPr>
        <w:t>-</w:t>
      </w:r>
      <w:r w:rsidRPr="00D440A5">
        <w:rPr>
          <w:noProof/>
          <w:lang w:val="ru-RU"/>
        </w:rPr>
        <w:t>ремонтов в годовую производственную программу, так и развитие производства новых вагонов без выполнения 1000 депо</w:t>
      </w:r>
      <w:r>
        <w:rPr>
          <w:noProof/>
          <w:lang w:val="ru-RU"/>
        </w:rPr>
        <w:t>-</w:t>
      </w:r>
      <w:r w:rsidRPr="00D440A5">
        <w:rPr>
          <w:noProof/>
          <w:lang w:val="ru-RU"/>
        </w:rPr>
        <w:t>ремонтов в рамках годовой  производственной программы.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По мнению менеджмента Компании, сокращение постоянных издержек на 20% позволяет включить в производственную программу 1000 депо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>ремонтов в год,</w:t>
      </w:r>
      <w:r>
        <w:rPr>
          <w:noProof/>
          <w:lang w:val="ru-RU"/>
        </w:rPr>
        <w:t xml:space="preserve"> однако п</w:t>
      </w:r>
      <w:r w:rsidRPr="009B53A5">
        <w:rPr>
          <w:noProof/>
          <w:lang w:val="ru-RU"/>
        </w:rPr>
        <w:t xml:space="preserve">ри </w:t>
      </w:r>
      <w:r>
        <w:rPr>
          <w:noProof/>
          <w:lang w:val="ru-RU"/>
        </w:rPr>
        <w:t>этом</w:t>
      </w:r>
      <w:r w:rsidRPr="009B53A5">
        <w:rPr>
          <w:noProof/>
          <w:lang w:val="ru-RU"/>
        </w:rPr>
        <w:t xml:space="preserve"> предполагается частичное сокращение подразделений, ответственных за разработку новых продуктов, что в конечном итоге не позволяет Компании реализовать проект развития производства новых полувагонов</w:t>
      </w:r>
      <w:r>
        <w:rPr>
          <w:noProof/>
          <w:lang w:val="ru-RU"/>
        </w:rPr>
        <w:t xml:space="preserve"> (</w:t>
      </w:r>
      <w:r w:rsidRPr="009B53A5">
        <w:rPr>
          <w:noProof/>
          <w:lang w:val="ru-RU"/>
        </w:rPr>
        <w:t>но позволяет реализовать проекты</w:t>
      </w:r>
      <w:r>
        <w:rPr>
          <w:noProof/>
          <w:lang w:val="ru-RU"/>
        </w:rPr>
        <w:t xml:space="preserve"> с цистернами)</w:t>
      </w:r>
      <w:r w:rsidRPr="009B53A5">
        <w:rPr>
          <w:noProof/>
          <w:lang w:val="ru-RU"/>
        </w:rPr>
        <w:t xml:space="preserve">. </w:t>
      </w:r>
    </w:p>
    <w:p w:rsidR="00AA5E6C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Производственные мощности компании ограничены объемом капитальных и депо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 xml:space="preserve">ремонтов, а также производства новых вагонов в объеме не более 3500 вагонов в год. 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В случае, если компания формирует производственную программу в объеме не менее 3000 ремонтируемых вагонов  в год (капитальным и депо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>ремонтом) организация производства новых вагонов в компании невозможна, т.к. при такой производственной программе не остается свободных производственных площадей для организации нового производства. При загрузке ремонтного производства в объеме 2500 вагонов в год компания не может реализовать проект развития производства новых полувагонов в связи с ограничением производственных площадей, но может реализовать другие проекты развития.</w:t>
      </w:r>
    </w:p>
    <w:p w:rsidR="00AA5E6C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 xml:space="preserve">Спрос на рынке ремонтов в связи с изменением структуры группы РЖД изменился </w:t>
      </w:r>
      <w:r>
        <w:rPr>
          <w:noProof/>
          <w:lang w:val="ru-RU"/>
        </w:rPr>
        <w:t xml:space="preserve">и </w:t>
      </w:r>
      <w:r w:rsidRPr="009B53A5">
        <w:rPr>
          <w:noProof/>
          <w:lang w:val="ru-RU"/>
        </w:rPr>
        <w:t xml:space="preserve">сформировались следующие условия: </w:t>
      </w:r>
    </w:p>
    <w:p w:rsidR="00AA5E6C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спрос на депо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 xml:space="preserve">ремонт в географическом сегменте </w:t>
      </w:r>
      <w:r>
        <w:rPr>
          <w:noProof/>
          <w:lang w:val="ru-RU"/>
        </w:rPr>
        <w:t>К</w:t>
      </w:r>
      <w:r w:rsidRPr="009B53A5">
        <w:rPr>
          <w:noProof/>
          <w:lang w:val="ru-RU"/>
        </w:rPr>
        <w:t xml:space="preserve">омпании постоянен и составляет 1000 ремонтов на </w:t>
      </w:r>
      <w:r>
        <w:rPr>
          <w:noProof/>
          <w:lang w:val="ru-RU"/>
        </w:rPr>
        <w:t>долю Компании</w:t>
      </w:r>
      <w:r w:rsidRPr="009B53A5">
        <w:rPr>
          <w:noProof/>
          <w:lang w:val="ru-RU"/>
        </w:rPr>
        <w:t xml:space="preserve"> в год в среднем; </w:t>
      </w:r>
    </w:p>
    <w:p w:rsidR="00AA5E6C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 xml:space="preserve">спрос на капитальный ремонт вагонов характеризуется устойчивой продуктовой структурой, при этом вероятность формирования спроса оценивается экспертами следующим образом 600 </w:t>
      </w:r>
      <w:r>
        <w:rPr>
          <w:noProof/>
          <w:lang w:val="ru-RU"/>
        </w:rPr>
        <w:t>капитальных ремонтов за год</w:t>
      </w:r>
      <w:r w:rsidRPr="009B53A5">
        <w:rPr>
          <w:noProof/>
          <w:lang w:val="ru-RU"/>
        </w:rPr>
        <w:t xml:space="preserve"> = 50%, 900 = 25%, 1200 = 12%, 1500 = 7%, 2000 = 4%</w:t>
      </w:r>
      <w:r>
        <w:rPr>
          <w:noProof/>
          <w:lang w:val="ru-RU"/>
        </w:rPr>
        <w:t xml:space="preserve"> и</w:t>
      </w:r>
      <w:r w:rsidRPr="009B53A5">
        <w:rPr>
          <w:noProof/>
          <w:lang w:val="ru-RU"/>
        </w:rPr>
        <w:t xml:space="preserve"> 2500 </w:t>
      </w:r>
      <w:r>
        <w:rPr>
          <w:noProof/>
          <w:lang w:val="ru-RU"/>
        </w:rPr>
        <w:t xml:space="preserve">капитальных ремонтов за год </w:t>
      </w:r>
      <w:r w:rsidRPr="009B53A5">
        <w:rPr>
          <w:noProof/>
          <w:lang w:val="ru-RU"/>
        </w:rPr>
        <w:t xml:space="preserve"> = 2%. </w:t>
      </w:r>
    </w:p>
    <w:p w:rsidR="00AA5E6C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 xml:space="preserve">В качестве базовой структуры спроса </w:t>
      </w:r>
      <w:r>
        <w:rPr>
          <w:noProof/>
          <w:lang w:val="ru-RU"/>
        </w:rPr>
        <w:t xml:space="preserve">накапитальный ремонт </w:t>
      </w:r>
      <w:r w:rsidRPr="009B53A5">
        <w:rPr>
          <w:noProof/>
          <w:lang w:val="ru-RU"/>
        </w:rPr>
        <w:t xml:space="preserve">рассматривается структура, сложившаяся исторически: 4-осных вагонов-цистерн </w:t>
      </w:r>
      <w:r>
        <w:rPr>
          <w:noProof/>
          <w:lang w:val="ru-RU"/>
        </w:rPr>
        <w:t>24%</w:t>
      </w:r>
      <w:r w:rsidRPr="009B53A5">
        <w:rPr>
          <w:noProof/>
          <w:lang w:val="ru-RU"/>
        </w:rPr>
        <w:t>,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 xml:space="preserve">8-осных цистерн </w:t>
      </w:r>
      <w:r>
        <w:rPr>
          <w:noProof/>
          <w:lang w:val="ru-RU"/>
        </w:rPr>
        <w:t>20%</w:t>
      </w:r>
      <w:r w:rsidRPr="009B53A5">
        <w:rPr>
          <w:noProof/>
          <w:lang w:val="ru-RU"/>
        </w:rPr>
        <w:t xml:space="preserve">, полувагонов </w:t>
      </w:r>
      <w:r>
        <w:rPr>
          <w:noProof/>
          <w:lang w:val="ru-RU"/>
        </w:rPr>
        <w:t>40%</w:t>
      </w:r>
      <w:r w:rsidRPr="009B53A5">
        <w:rPr>
          <w:noProof/>
          <w:lang w:val="ru-RU"/>
        </w:rPr>
        <w:t xml:space="preserve">, вагонов-хопперов </w:t>
      </w:r>
      <w:r>
        <w:rPr>
          <w:noProof/>
          <w:lang w:val="ru-RU"/>
        </w:rPr>
        <w:t>16%. Т</w:t>
      </w:r>
      <w:r w:rsidRPr="009B53A5">
        <w:rPr>
          <w:noProof/>
          <w:lang w:val="ru-RU"/>
        </w:rPr>
        <w:t>акая  продуктовая структура спроса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 xml:space="preserve">сохраняется при других объемах и изменяется пропорционально общему количеству ремонтов. 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</w:p>
    <w:p w:rsidR="00AA5E6C" w:rsidRPr="009B53A5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Перспективный спрос на новые вагоны характеризуется следующим образом: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1). По проекту развития производства новых вагонов-цистерн с котлом 3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 xml:space="preserve">м. Наличие </w:t>
      </w:r>
      <w:r>
        <w:rPr>
          <w:noProof/>
          <w:lang w:val="ru-RU"/>
        </w:rPr>
        <w:t xml:space="preserve">существенного </w:t>
      </w:r>
      <w:r w:rsidRPr="009B53A5">
        <w:rPr>
          <w:noProof/>
          <w:lang w:val="ru-RU"/>
        </w:rPr>
        <w:t xml:space="preserve">спроса оценивается экспертами с вероятностью в 60%, при этом предполагается, что компания сможет производить </w:t>
      </w:r>
      <w:r>
        <w:rPr>
          <w:noProof/>
          <w:lang w:val="ru-RU"/>
        </w:rPr>
        <w:t>примерно</w:t>
      </w:r>
      <w:r w:rsidRPr="009B53A5">
        <w:rPr>
          <w:noProof/>
          <w:lang w:val="ru-RU"/>
        </w:rPr>
        <w:t xml:space="preserve"> 100 </w:t>
      </w:r>
      <w:r>
        <w:rPr>
          <w:noProof/>
          <w:lang w:val="ru-RU"/>
        </w:rPr>
        <w:t>единиц</w:t>
      </w:r>
      <w:r w:rsidRPr="009B53A5">
        <w:rPr>
          <w:noProof/>
          <w:lang w:val="ru-RU"/>
        </w:rPr>
        <w:t xml:space="preserve"> в год. </w:t>
      </w:r>
      <w:r>
        <w:rPr>
          <w:noProof/>
          <w:lang w:val="ru-RU"/>
        </w:rPr>
        <w:t>В от</w:t>
      </w:r>
      <w:r w:rsidRPr="009B53A5">
        <w:rPr>
          <w:noProof/>
          <w:lang w:val="ru-RU"/>
        </w:rPr>
        <w:t xml:space="preserve">сутствие спроса предполагается, что компания сможет производить </w:t>
      </w:r>
      <w:r>
        <w:rPr>
          <w:noProof/>
          <w:lang w:val="ru-RU"/>
        </w:rPr>
        <w:t>около</w:t>
      </w:r>
      <w:r w:rsidRPr="009B53A5">
        <w:rPr>
          <w:noProof/>
          <w:lang w:val="ru-RU"/>
        </w:rPr>
        <w:t xml:space="preserve"> 20 </w:t>
      </w:r>
      <w:r>
        <w:rPr>
          <w:noProof/>
          <w:lang w:val="ru-RU"/>
        </w:rPr>
        <w:t>единиц</w:t>
      </w:r>
      <w:r w:rsidRPr="009B53A5">
        <w:rPr>
          <w:noProof/>
          <w:lang w:val="ru-RU"/>
        </w:rPr>
        <w:t xml:space="preserve"> в год.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2). По проекту развития производства новых вагонов цистерн с котлом 3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>м и 3,2 м. Наличие высокого спроса на цистерны с котлом 3,2 м оценивается с вероятностью 20%,  при этом структура производства новых вагонов цистерн предполагается в объеме 50 штук в год с котлом 3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 xml:space="preserve">м и 550 </w:t>
      </w:r>
      <w:r>
        <w:rPr>
          <w:noProof/>
          <w:lang w:val="ru-RU"/>
        </w:rPr>
        <w:t>единиц</w:t>
      </w:r>
      <w:r w:rsidRPr="009B53A5">
        <w:rPr>
          <w:noProof/>
          <w:lang w:val="ru-RU"/>
        </w:rPr>
        <w:t xml:space="preserve"> 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 xml:space="preserve"> 3,2м. </w:t>
      </w:r>
      <w:r>
        <w:rPr>
          <w:noProof/>
          <w:lang w:val="ru-RU"/>
        </w:rPr>
        <w:t>При низком спросе (</w:t>
      </w:r>
      <w:r w:rsidRPr="009B53A5">
        <w:rPr>
          <w:noProof/>
          <w:lang w:val="ru-RU"/>
        </w:rPr>
        <w:t>вероятность 80%</w:t>
      </w:r>
      <w:r>
        <w:rPr>
          <w:noProof/>
          <w:lang w:val="ru-RU"/>
        </w:rPr>
        <w:t>)</w:t>
      </w:r>
      <w:r w:rsidRPr="009B53A5">
        <w:rPr>
          <w:noProof/>
          <w:lang w:val="ru-RU"/>
        </w:rPr>
        <w:t xml:space="preserve"> структура производства новых вагонов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>цистерн предполагается  в  объеме 100 штук в год с котлом 3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>м и 300 штук в год  с котлом 3,2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>м;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 xml:space="preserve">3). Наличие высокого спроса на </w:t>
      </w:r>
      <w:r>
        <w:rPr>
          <w:noProof/>
          <w:lang w:val="ru-RU"/>
        </w:rPr>
        <w:t xml:space="preserve">новые </w:t>
      </w:r>
      <w:r w:rsidRPr="009B53A5">
        <w:rPr>
          <w:noProof/>
          <w:lang w:val="ru-RU"/>
        </w:rPr>
        <w:t xml:space="preserve">полувагоны оценивается с вероятностью 60%, при этом структура производства новых полувагонов предполагает производство 1000 штук в год. </w:t>
      </w:r>
      <w:r>
        <w:rPr>
          <w:noProof/>
          <w:lang w:val="ru-RU"/>
        </w:rPr>
        <w:t xml:space="preserve">При низком спросе </w:t>
      </w:r>
      <w:r w:rsidRPr="009B53A5">
        <w:rPr>
          <w:noProof/>
          <w:lang w:val="ru-RU"/>
        </w:rPr>
        <w:t>предполагает</w:t>
      </w:r>
      <w:r>
        <w:rPr>
          <w:noProof/>
          <w:lang w:val="ru-RU"/>
        </w:rPr>
        <w:t>ся</w:t>
      </w:r>
      <w:r w:rsidRPr="009B53A5">
        <w:rPr>
          <w:noProof/>
          <w:lang w:val="ru-RU"/>
        </w:rPr>
        <w:t xml:space="preserve"> производство 600 штук в год. 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Производимые компанией продукты характеризуются следующими параметрами маржинальной прибыли на единицу.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Депо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 xml:space="preserve"> ремонт = 50 тыс. руб./шт.;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>
        <w:rPr>
          <w:noProof/>
          <w:lang w:val="ru-RU"/>
        </w:rPr>
        <w:t>Капитальный ремонт</w:t>
      </w:r>
      <w:r w:rsidRPr="009B53A5">
        <w:rPr>
          <w:noProof/>
          <w:lang w:val="ru-RU"/>
        </w:rPr>
        <w:t xml:space="preserve"> 4-осной цистерны = 135 тыс. руб./шт.;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>
        <w:rPr>
          <w:noProof/>
          <w:lang w:val="ru-RU"/>
        </w:rPr>
        <w:t>Капитальный ремонт</w:t>
      </w:r>
      <w:r w:rsidRPr="009B53A5">
        <w:rPr>
          <w:noProof/>
          <w:lang w:val="ru-RU"/>
        </w:rPr>
        <w:t xml:space="preserve"> 8-осной цистерны = 200 тыс. руб./шт.;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>
        <w:rPr>
          <w:noProof/>
          <w:lang w:val="ru-RU"/>
        </w:rPr>
        <w:t>Капитальный ремонт</w:t>
      </w:r>
      <w:r w:rsidRPr="009B53A5">
        <w:rPr>
          <w:noProof/>
          <w:lang w:val="ru-RU"/>
        </w:rPr>
        <w:t xml:space="preserve"> полувагона = 130 тыс. руб./шт.;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>
        <w:rPr>
          <w:noProof/>
          <w:lang w:val="ru-RU"/>
        </w:rPr>
        <w:t>Капитальный ремонт</w:t>
      </w:r>
      <w:r w:rsidRPr="009B53A5">
        <w:rPr>
          <w:noProof/>
          <w:lang w:val="ru-RU"/>
        </w:rPr>
        <w:t xml:space="preserve"> вагона-хоппера = 120 тыс. руб./шт;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NEW вагон-цистерна с котлом 3,0м = 200 тыс. руб./шт.;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NEW вагон-цистерна с котлом 3,2м = 240 тыс. руб./шт.;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NEW полувагон = 220 тыс. руб./шт.</w:t>
      </w:r>
    </w:p>
    <w:p w:rsidR="00AA5E6C" w:rsidRPr="009B53A5" w:rsidRDefault="00AA5E6C" w:rsidP="00AA5E6C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Амортизация основных средств компании составляет 35 млн. руб./год</w:t>
      </w:r>
    </w:p>
    <w:p w:rsidR="00AA5E6C" w:rsidRPr="004176AF" w:rsidRDefault="00AA5E6C" w:rsidP="00AA5E6C">
      <w:pPr>
        <w:ind w:firstLine="426"/>
        <w:rPr>
          <w:lang w:val="ru-RU"/>
        </w:rPr>
      </w:pPr>
    </w:p>
    <w:p w:rsidR="00AA5E6C" w:rsidRPr="00FB2F12" w:rsidRDefault="00AA5E6C" w:rsidP="00AA5E6C">
      <w:pPr>
        <w:ind w:firstLine="426"/>
        <w:rPr>
          <w:noProof/>
          <w:lang w:val="ru-RU"/>
        </w:rPr>
      </w:pPr>
      <w:r>
        <w:rPr>
          <w:lang w:val="ru-RU"/>
        </w:rPr>
        <w:t xml:space="preserve">Оцените финансовую привлекательность стратегий 1) отказа от сокращения постоянных издержек, 2) сокращения их на </w:t>
      </w:r>
      <w:r w:rsidRPr="00FB2F12">
        <w:rPr>
          <w:lang w:val="ru-RU"/>
        </w:rPr>
        <w:t>10%</w:t>
      </w:r>
      <w:r>
        <w:rPr>
          <w:lang w:val="ru-RU"/>
        </w:rPr>
        <w:t xml:space="preserve"> и 3) сокращения на 20%.</w:t>
      </w:r>
    </w:p>
    <w:p w:rsidR="00AA5E6C" w:rsidRDefault="00AA5E6C" w:rsidP="00AA5E6C">
      <w:pPr>
        <w:ind w:firstLine="426"/>
        <w:rPr>
          <w:noProof/>
          <w:lang w:val="ru-RU"/>
        </w:rPr>
      </w:pPr>
    </w:p>
    <w:p w:rsidR="00AA5E6C" w:rsidRPr="000C28EF" w:rsidRDefault="00AA5E6C" w:rsidP="00AA5E6C">
      <w:pPr>
        <w:rPr>
          <w:noProof/>
          <w:lang w:val="ru-RU"/>
        </w:rPr>
      </w:pPr>
    </w:p>
    <w:bookmarkEnd w:id="3"/>
    <w:bookmarkEnd w:id="0"/>
    <w:bookmarkEnd w:id="1"/>
    <w:bookmarkEnd w:id="2"/>
    <w:sectPr w:rsidR="00AA5E6C" w:rsidRPr="000C28EF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AA5E6C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AA5E6C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71012DA" wp14:editId="1EB00EBD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AA5E6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3321E75" wp14:editId="14C7586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AA5E6C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321E75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AA5E6C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AA5E6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AA5E6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AA5E6C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AA5E6C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AA5E6C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AA5E6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6C"/>
    <w:rsid w:val="002B2C1B"/>
    <w:rsid w:val="006C0B77"/>
    <w:rsid w:val="008242FF"/>
    <w:rsid w:val="00870751"/>
    <w:rsid w:val="00922C48"/>
    <w:rsid w:val="00AA5E6C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216DA-F2B4-48D0-BC39-B244AAF2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A5E6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A5E6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AA5E6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AA5E6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A5E6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A5E6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A5E6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A5E6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A5E6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AA5E6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A5E6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AA5E6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A5E6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A5E6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A5E6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A5E6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A5E6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A5E6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AA5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A5E6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A5E6C"/>
    <w:pPr>
      <w:numPr>
        <w:numId w:val="10"/>
      </w:numPr>
    </w:pPr>
  </w:style>
  <w:style w:type="paragraph" w:styleId="a6">
    <w:name w:val="Block Text"/>
    <w:basedOn w:val="a0"/>
    <w:rsid w:val="00AA5E6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A5E6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AA5E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A5E6C"/>
    <w:rPr>
      <w:rFonts w:ascii="Calibri" w:eastAsia="Times New Roman" w:hAnsi="Calibri" w:cs="Calibri"/>
      <w:lang w:val="en-US"/>
    </w:rPr>
  </w:style>
  <w:style w:type="character" w:styleId="a9">
    <w:name w:val="page number"/>
    <w:rsid w:val="00AA5E6C"/>
    <w:rPr>
      <w:rFonts w:cs="Times New Roman"/>
    </w:rPr>
  </w:style>
  <w:style w:type="paragraph" w:styleId="aa">
    <w:name w:val="footer"/>
    <w:basedOn w:val="a0"/>
    <w:link w:val="ab"/>
    <w:rsid w:val="00AA5E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A5E6C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AA5E6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AA5E6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A5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A5E6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A5E6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AA5E6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A5E6C"/>
    <w:rPr>
      <w:sz w:val="20"/>
      <w:szCs w:val="20"/>
    </w:rPr>
  </w:style>
  <w:style w:type="character" w:styleId="af">
    <w:name w:val="Hyperlink"/>
    <w:uiPriority w:val="99"/>
    <w:rsid w:val="00AA5E6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AA5E6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AA5E6C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AA5E6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AA5E6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AA5E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AA5E6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AA5E6C"/>
    <w:pPr>
      <w:jc w:val="left"/>
    </w:pPr>
  </w:style>
  <w:style w:type="paragraph" w:customStyle="1" w:styleId="af6">
    <w:name w:val="ТаблицаЗадачника"/>
    <w:basedOn w:val="a0"/>
    <w:autoRedefine/>
    <w:rsid w:val="00AA5E6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AA5E6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AA5E6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AA5E6C"/>
    <w:rPr>
      <w:rFonts w:cs="Times New Roman"/>
      <w:b/>
      <w:bCs/>
      <w:spacing w:val="0"/>
    </w:rPr>
  </w:style>
  <w:style w:type="character" w:styleId="afa">
    <w:name w:val="Emphasis"/>
    <w:qFormat/>
    <w:rsid w:val="00AA5E6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A5E6C"/>
  </w:style>
  <w:style w:type="character" w:customStyle="1" w:styleId="NoSpacingChar">
    <w:name w:val="No Spacing Char"/>
    <w:link w:val="12"/>
    <w:locked/>
    <w:rsid w:val="00AA5E6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AA5E6C"/>
    <w:pPr>
      <w:ind w:left="720"/>
    </w:pPr>
  </w:style>
  <w:style w:type="paragraph" w:customStyle="1" w:styleId="21">
    <w:name w:val="Цитата 21"/>
    <w:basedOn w:val="a0"/>
    <w:next w:val="a0"/>
    <w:link w:val="QuoteChar"/>
    <w:rsid w:val="00AA5E6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A5E6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A5E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A5E6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A5E6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A5E6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A5E6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A5E6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A5E6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A5E6C"/>
    <w:pPr>
      <w:outlineLvl w:val="9"/>
    </w:pPr>
  </w:style>
  <w:style w:type="numbering" w:customStyle="1" w:styleId="38">
    <w:name w:val="Стиль нумерованный полужирный38"/>
    <w:rsid w:val="00AA5E6C"/>
    <w:pPr>
      <w:numPr>
        <w:numId w:val="6"/>
      </w:numPr>
    </w:pPr>
  </w:style>
  <w:style w:type="numbering" w:customStyle="1" w:styleId="124">
    <w:name w:val="Стиль нумерованный полужирный124"/>
    <w:rsid w:val="00AA5E6C"/>
    <w:pPr>
      <w:numPr>
        <w:numId w:val="9"/>
      </w:numPr>
    </w:pPr>
  </w:style>
  <w:style w:type="numbering" w:customStyle="1" w:styleId="66">
    <w:name w:val="Стиль нумерованный полужирный66"/>
    <w:rsid w:val="00AA5E6C"/>
    <w:pPr>
      <w:numPr>
        <w:numId w:val="7"/>
      </w:numPr>
    </w:pPr>
  </w:style>
  <w:style w:type="numbering" w:customStyle="1" w:styleId="54">
    <w:name w:val="Стиль нумерованный полужирный54"/>
    <w:rsid w:val="00AA5E6C"/>
    <w:pPr>
      <w:numPr>
        <w:numId w:val="4"/>
      </w:numPr>
    </w:pPr>
  </w:style>
  <w:style w:type="numbering" w:customStyle="1" w:styleId="246">
    <w:name w:val="Стиль нумерованный полужирный246"/>
    <w:rsid w:val="00AA5E6C"/>
    <w:pPr>
      <w:numPr>
        <w:numId w:val="2"/>
      </w:numPr>
    </w:pPr>
  </w:style>
  <w:style w:type="numbering" w:customStyle="1" w:styleId="146">
    <w:name w:val="Стиль нумерованный полужирный146"/>
    <w:rsid w:val="00AA5E6C"/>
    <w:pPr>
      <w:numPr>
        <w:numId w:val="1"/>
      </w:numPr>
    </w:pPr>
  </w:style>
  <w:style w:type="numbering" w:customStyle="1" w:styleId="44">
    <w:name w:val="Стиль нумерованный полужирный44"/>
    <w:rsid w:val="00AA5E6C"/>
    <w:pPr>
      <w:numPr>
        <w:numId w:val="3"/>
      </w:numPr>
    </w:pPr>
  </w:style>
  <w:style w:type="numbering" w:customStyle="1" w:styleId="225">
    <w:name w:val="Стиль нумерованный полужирный225"/>
    <w:rsid w:val="00AA5E6C"/>
    <w:pPr>
      <w:numPr>
        <w:numId w:val="14"/>
      </w:numPr>
    </w:pPr>
  </w:style>
  <w:style w:type="numbering" w:customStyle="1" w:styleId="76">
    <w:name w:val="Стиль нумерованный полужирный76"/>
    <w:rsid w:val="00AA5E6C"/>
    <w:pPr>
      <w:numPr>
        <w:numId w:val="8"/>
      </w:numPr>
    </w:pPr>
  </w:style>
  <w:style w:type="numbering" w:customStyle="1" w:styleId="74">
    <w:name w:val="Стиль нумерованный полужирный74"/>
    <w:rsid w:val="00AA5E6C"/>
    <w:pPr>
      <w:numPr>
        <w:numId w:val="5"/>
      </w:numPr>
    </w:pPr>
  </w:style>
  <w:style w:type="paragraph" w:customStyle="1" w:styleId="1b">
    <w:name w:val="Обычный1"/>
    <w:rsid w:val="00AA5E6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AA5E6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AA5E6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AA5E6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AA5E6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A5E6C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AA5E6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A5E6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AA5E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A5E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A5E6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A5E6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A5E6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AA5E6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A5E6C"/>
    <w:pPr>
      <w:spacing w:after="100"/>
      <w:ind w:left="440"/>
    </w:pPr>
  </w:style>
  <w:style w:type="paragraph" w:styleId="22">
    <w:name w:val="List 2"/>
    <w:basedOn w:val="a0"/>
    <w:rsid w:val="00AA5E6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AA5E6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A5E6C"/>
    <w:pPr>
      <w:numPr>
        <w:numId w:val="11"/>
      </w:numPr>
    </w:pPr>
  </w:style>
  <w:style w:type="paragraph" w:styleId="a">
    <w:name w:val="List Bullet"/>
    <w:basedOn w:val="a0"/>
    <w:semiHidden/>
    <w:unhideWhenUsed/>
    <w:rsid w:val="00AA5E6C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AA5E6C"/>
    <w:rPr>
      <w:color w:val="808080"/>
    </w:rPr>
  </w:style>
  <w:style w:type="paragraph" w:styleId="33">
    <w:name w:val="Body Text Indent 3"/>
    <w:basedOn w:val="a0"/>
    <w:link w:val="34"/>
    <w:rsid w:val="00AA5E6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A5E6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A5E6C"/>
    <w:pPr>
      <w:numPr>
        <w:numId w:val="13"/>
      </w:numPr>
    </w:pPr>
  </w:style>
  <w:style w:type="paragraph" w:customStyle="1" w:styleId="Normal12">
    <w:name w:val="Normal12"/>
    <w:rsid w:val="00AA5E6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AA5E6C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AA5E6C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AA5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