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AFA" w:rsidRPr="00232E07" w:rsidRDefault="00502AFA" w:rsidP="00502AFA">
      <w:pPr>
        <w:pStyle w:val="vse"/>
        <w:rPr>
          <w:noProof/>
          <w:lang w:val="ru-RU"/>
        </w:rPr>
      </w:pPr>
      <w:bookmarkStart w:id="0" w:name="_Hlk62352080"/>
      <w:bookmarkStart w:id="1" w:name="_Hlk62346330"/>
      <w:bookmarkStart w:id="2" w:name="_Hlk62347363"/>
      <w:bookmarkStart w:id="3" w:name="_Toc62354379"/>
      <w:bookmarkStart w:id="4" w:name="_Toc62404631"/>
      <w:r>
        <w:rPr>
          <w:noProof/>
          <w:lang w:val="ru-RU"/>
        </w:rPr>
        <w:t>Вариант 31</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53293D">
        <w:rPr>
          <w:noProof/>
          <w:lang w:val="ru-RU"/>
        </w:rPr>
        <w:tab/>
      </w:r>
      <w:r w:rsidRPr="00F90972">
        <w:rPr>
          <w:noProof/>
          <w:lang w:val="ru-RU"/>
        </w:rPr>
        <w:t xml:space="preserve">Елки-палки </w:t>
      </w:r>
      <w:r w:rsidRPr="00F90972">
        <w:rPr>
          <w:noProof/>
          <w:sz w:val="28"/>
          <w:lang w:val="ru-RU"/>
        </w:rPr>
        <w:t>(****)</w:t>
      </w:r>
      <w:bookmarkEnd w:id="4"/>
    </w:p>
    <w:p w:rsidR="00502AFA" w:rsidRPr="0045493D" w:rsidRDefault="00502AFA" w:rsidP="00502AFA">
      <w:pPr>
        <w:ind w:firstLine="426"/>
        <w:rPr>
          <w:lang w:val="ru-RU"/>
        </w:rPr>
      </w:pPr>
      <w:r w:rsidRPr="0045493D">
        <w:rPr>
          <w:lang w:val="ru-RU"/>
        </w:rPr>
        <w:t xml:space="preserve">Управляющий отделом товаров кратковременного спроса в сети универмагов рассматривает предложение о закупке нового типа искусственных новогодних елок. </w:t>
      </w:r>
    </w:p>
    <w:p w:rsidR="00502AFA" w:rsidRPr="0045493D" w:rsidRDefault="00502AFA" w:rsidP="00502AFA">
      <w:pPr>
        <w:ind w:firstLine="426"/>
        <w:rPr>
          <w:lang w:val="ru-RU"/>
        </w:rPr>
      </w:pPr>
      <w:r w:rsidRPr="0045493D">
        <w:rPr>
          <w:lang w:val="ru-RU"/>
        </w:rPr>
        <w:t xml:space="preserve">Поставщик готов поставить 50 тыс. елок к предстоящему сезону. Но управляющий не уверен, что спрос на новые елки будет достаточно высок. Он выписал четыре варианта размера заказа - пробная партия (1000 шт.), 10 тыс., 20 тыс., большая партия (50 тыс. шт.) – и хочет оценить финансовые результаты для каждого случая. </w:t>
      </w:r>
    </w:p>
    <w:p w:rsidR="00502AFA" w:rsidRPr="006D2B8F" w:rsidRDefault="00502AFA" w:rsidP="00502AFA">
      <w:pPr>
        <w:ind w:firstLine="426"/>
      </w:pPr>
      <w:r w:rsidRPr="0045493D">
        <w:rPr>
          <w:lang w:val="ru-RU"/>
        </w:rPr>
        <w:t xml:space="preserve">Менеджер по закупкам предоставил информацию об условиях закупки (см. таблицу). Наиболее выгодные условия, разумеется, соответствуют большому заказу. Причем, если будет закуплено не менее 10 тыс. штук, поставщик готов поставить товар почти  «на реализацию». Т.е. деньги ему будут выплачены только за проданный товар, а не проданный товар он заберет назад. Правда в этом случае сеть обязуется компенсировать поставщику транспортные расходы. Потери составят при этом от $16 за елку (при закупке 10 тыс. шт.)  </w:t>
      </w:r>
      <w:r w:rsidRPr="006D2B8F">
        <w:t>до $14 для большой партии.</w:t>
      </w:r>
      <w:r>
        <w:t xml:space="preserve"> </w:t>
      </w:r>
    </w:p>
    <w:p w:rsidR="00502AFA" w:rsidRPr="006D2B8F" w:rsidRDefault="00502AFA" w:rsidP="00502AFA">
      <w:pPr>
        <w:ind w:firstLine="426"/>
      </w:pPr>
    </w:p>
    <w:tbl>
      <w:tblPr>
        <w:tblW w:w="8142" w:type="dxa"/>
        <w:jc w:val="center"/>
        <w:tblLayout w:type="fixed"/>
        <w:tblCellMar>
          <w:left w:w="28" w:type="dxa"/>
          <w:right w:w="28" w:type="dxa"/>
        </w:tblCellMar>
        <w:tblLook w:val="0000" w:firstRow="0" w:lastRow="0" w:firstColumn="0" w:lastColumn="0" w:noHBand="0" w:noVBand="0"/>
      </w:tblPr>
      <w:tblGrid>
        <w:gridCol w:w="971"/>
        <w:gridCol w:w="972"/>
        <w:gridCol w:w="971"/>
        <w:gridCol w:w="972"/>
        <w:gridCol w:w="689"/>
        <w:gridCol w:w="975"/>
        <w:gridCol w:w="648"/>
        <w:gridCol w:w="648"/>
        <w:gridCol w:w="648"/>
        <w:gridCol w:w="648"/>
      </w:tblGrid>
      <w:tr w:rsidR="00502AFA" w:rsidRPr="00207041" w:rsidTr="002B1C48">
        <w:trPr>
          <w:trHeight w:val="23"/>
          <w:jc w:val="center"/>
        </w:trPr>
        <w:tc>
          <w:tcPr>
            <w:tcW w:w="38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Условия закупки</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vMerge w:val="restart"/>
            <w:tcBorders>
              <w:top w:val="single" w:sz="4" w:space="0" w:color="auto"/>
              <w:left w:val="single" w:sz="4" w:space="0" w:color="auto"/>
              <w:right w:val="single" w:sz="4" w:space="0" w:color="auto"/>
            </w:tcBorders>
            <w:shd w:val="clear" w:color="auto" w:fill="auto"/>
            <w:vAlign w:val="center"/>
          </w:tcPr>
          <w:p w:rsidR="00502AFA" w:rsidRPr="00207041" w:rsidRDefault="00502AFA" w:rsidP="002B1C48">
            <w:r w:rsidRPr="00207041">
              <w:t>Затраты на рекламу, тыс.</w:t>
            </w:r>
          </w:p>
        </w:tc>
        <w:tc>
          <w:tcPr>
            <w:tcW w:w="2592" w:type="dxa"/>
            <w:gridSpan w:val="4"/>
            <w:tcBorders>
              <w:top w:val="single" w:sz="4" w:space="0" w:color="auto"/>
              <w:left w:val="nil"/>
              <w:bottom w:val="single" w:sz="4" w:space="0" w:color="auto"/>
              <w:right w:val="single" w:sz="4" w:space="0" w:color="auto"/>
            </w:tcBorders>
            <w:shd w:val="clear" w:color="auto" w:fill="auto"/>
            <w:noWrap/>
            <w:vAlign w:val="center"/>
          </w:tcPr>
          <w:p w:rsidR="00502AFA" w:rsidRPr="00207041" w:rsidRDefault="00502AFA" w:rsidP="002B1C48">
            <w:r w:rsidRPr="00207041">
              <w:t>Вероятности спроса</w:t>
            </w:r>
          </w:p>
        </w:tc>
      </w:tr>
      <w:tr w:rsidR="00502AFA" w:rsidRPr="00207041" w:rsidTr="002B1C48">
        <w:trPr>
          <w:trHeight w:val="23"/>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Размер партии, тыс. шт.</w:t>
            </w:r>
          </w:p>
        </w:tc>
        <w:tc>
          <w:tcPr>
            <w:tcW w:w="972" w:type="dxa"/>
            <w:tcBorders>
              <w:top w:val="single" w:sz="4" w:space="0" w:color="auto"/>
              <w:left w:val="nil"/>
              <w:bottom w:val="single" w:sz="4" w:space="0" w:color="auto"/>
              <w:right w:val="single" w:sz="4" w:space="0" w:color="auto"/>
            </w:tcBorders>
            <w:shd w:val="clear" w:color="auto" w:fill="auto"/>
            <w:vAlign w:val="center"/>
          </w:tcPr>
          <w:p w:rsidR="00502AFA" w:rsidRPr="00207041" w:rsidRDefault="00502AFA" w:rsidP="002B1C48">
            <w:r w:rsidRPr="00207041">
              <w:t>Потери</w:t>
            </w:r>
          </w:p>
        </w:tc>
        <w:tc>
          <w:tcPr>
            <w:tcW w:w="971" w:type="dxa"/>
            <w:tcBorders>
              <w:top w:val="single" w:sz="4" w:space="0" w:color="auto"/>
              <w:left w:val="nil"/>
              <w:bottom w:val="single" w:sz="4" w:space="0" w:color="auto"/>
              <w:right w:val="single" w:sz="4" w:space="0" w:color="auto"/>
            </w:tcBorders>
            <w:shd w:val="clear" w:color="auto" w:fill="auto"/>
            <w:vAlign w:val="center"/>
          </w:tcPr>
          <w:p w:rsidR="00502AFA" w:rsidRPr="00207041" w:rsidRDefault="00502AFA" w:rsidP="002B1C48">
            <w:r w:rsidRPr="00207041">
              <w:t>Закуп. Цена</w:t>
            </w:r>
          </w:p>
        </w:tc>
        <w:tc>
          <w:tcPr>
            <w:tcW w:w="972" w:type="dxa"/>
            <w:tcBorders>
              <w:top w:val="single" w:sz="4" w:space="0" w:color="auto"/>
              <w:left w:val="nil"/>
              <w:bottom w:val="single" w:sz="4" w:space="0" w:color="auto"/>
              <w:right w:val="single" w:sz="4" w:space="0" w:color="auto"/>
            </w:tcBorders>
            <w:shd w:val="clear" w:color="auto" w:fill="auto"/>
            <w:vAlign w:val="center"/>
          </w:tcPr>
          <w:p w:rsidR="00502AFA" w:rsidRPr="00207041" w:rsidRDefault="00502AFA" w:rsidP="002B1C48">
            <w:r w:rsidRPr="00207041">
              <w:t>Розн. Цена</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vMerge/>
            <w:tcBorders>
              <w:left w:val="single" w:sz="4" w:space="0" w:color="auto"/>
              <w:bottom w:val="single" w:sz="4" w:space="0" w:color="auto"/>
              <w:right w:val="single" w:sz="4" w:space="0" w:color="auto"/>
            </w:tcBorders>
            <w:shd w:val="clear" w:color="auto" w:fill="auto"/>
            <w:vAlign w:val="center"/>
          </w:tcPr>
          <w:p w:rsidR="00502AFA" w:rsidRPr="00207041" w:rsidRDefault="00502AFA" w:rsidP="002B1C48"/>
        </w:tc>
        <w:tc>
          <w:tcPr>
            <w:tcW w:w="648" w:type="dxa"/>
            <w:tcBorders>
              <w:top w:val="single" w:sz="4" w:space="0" w:color="auto"/>
              <w:left w:val="nil"/>
              <w:bottom w:val="single" w:sz="4" w:space="0" w:color="auto"/>
              <w:right w:val="single" w:sz="4" w:space="0" w:color="auto"/>
            </w:tcBorders>
            <w:shd w:val="clear" w:color="auto" w:fill="auto"/>
            <w:noWrap/>
            <w:vAlign w:val="center"/>
          </w:tcPr>
          <w:p w:rsidR="00502AFA" w:rsidRPr="00207041" w:rsidRDefault="00502AFA" w:rsidP="002B1C48">
            <w:r w:rsidRPr="00207041">
              <w:t xml:space="preserve">1 </w:t>
            </w:r>
          </w:p>
          <w:p w:rsidR="00502AFA" w:rsidRPr="00207041" w:rsidRDefault="00502AFA" w:rsidP="002B1C48">
            <w:r w:rsidRPr="00207041">
              <w:t>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502AFA" w:rsidRPr="00207041" w:rsidRDefault="00502AFA" w:rsidP="002B1C48">
            <w:r w:rsidRPr="00207041">
              <w:t>10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502AFA" w:rsidRPr="00207041" w:rsidRDefault="00502AFA" w:rsidP="002B1C48">
            <w:r w:rsidRPr="00207041">
              <w:t>20 тыс.</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502AFA" w:rsidRPr="00207041" w:rsidRDefault="00502AFA" w:rsidP="002B1C48">
            <w:r w:rsidRPr="00207041">
              <w:t>50 тыс.</w:t>
            </w:r>
          </w:p>
        </w:tc>
      </w:tr>
      <w:tr w:rsidR="00502AFA"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1</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50</w:t>
            </w:r>
          </w:p>
        </w:tc>
        <w:tc>
          <w:tcPr>
            <w:tcW w:w="971"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100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180</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502AFA" w:rsidRPr="00207041" w:rsidRDefault="00502AFA"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70%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0</w:t>
            </w:r>
          </w:p>
        </w:tc>
      </w:tr>
      <w:tr w:rsidR="00502AFA"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10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16</w:t>
            </w:r>
          </w:p>
        </w:tc>
        <w:tc>
          <w:tcPr>
            <w:tcW w:w="971"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80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150</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502AFA" w:rsidRPr="00207041" w:rsidRDefault="00502AFA" w:rsidP="002B1C48">
            <w:r w:rsidRPr="00207041">
              <w:t>100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5%</w:t>
            </w:r>
          </w:p>
        </w:tc>
      </w:tr>
      <w:tr w:rsidR="00502AFA"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20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15</w:t>
            </w:r>
          </w:p>
        </w:tc>
        <w:tc>
          <w:tcPr>
            <w:tcW w:w="971"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75</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150</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502AFA" w:rsidRPr="00207041" w:rsidRDefault="00502AFA" w:rsidP="002B1C48">
            <w:r w:rsidRPr="00207041">
              <w:t>200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20%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30%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40%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10%</w:t>
            </w:r>
          </w:p>
        </w:tc>
      </w:tr>
      <w:tr w:rsidR="00502AFA" w:rsidRPr="00207041" w:rsidTr="002B1C48">
        <w:trPr>
          <w:trHeight w:val="23"/>
          <w:jc w:val="center"/>
        </w:trPr>
        <w:tc>
          <w:tcPr>
            <w:tcW w:w="971" w:type="dxa"/>
            <w:tcBorders>
              <w:top w:val="nil"/>
              <w:left w:val="single" w:sz="4" w:space="0" w:color="auto"/>
              <w:bottom w:val="single" w:sz="4" w:space="0" w:color="auto"/>
              <w:right w:val="single" w:sz="4" w:space="0" w:color="auto"/>
            </w:tcBorders>
            <w:shd w:val="clear" w:color="auto" w:fill="auto"/>
            <w:noWrap/>
            <w:vAlign w:val="center"/>
          </w:tcPr>
          <w:p w:rsidR="00502AFA" w:rsidRPr="00207041" w:rsidRDefault="00502AFA" w:rsidP="002B1C48">
            <w:r w:rsidRPr="00207041">
              <w:t>50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14</w:t>
            </w:r>
          </w:p>
        </w:tc>
        <w:tc>
          <w:tcPr>
            <w:tcW w:w="971"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70</w:t>
            </w:r>
          </w:p>
        </w:tc>
        <w:tc>
          <w:tcPr>
            <w:tcW w:w="972"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150</w:t>
            </w:r>
          </w:p>
        </w:tc>
        <w:tc>
          <w:tcPr>
            <w:tcW w:w="689" w:type="dxa"/>
            <w:tcBorders>
              <w:top w:val="nil"/>
              <w:left w:val="nil"/>
              <w:bottom w:val="nil"/>
              <w:right w:val="nil"/>
            </w:tcBorders>
            <w:shd w:val="clear" w:color="auto" w:fill="auto"/>
            <w:noWrap/>
            <w:vAlign w:val="center"/>
          </w:tcPr>
          <w:p w:rsidR="00502AFA" w:rsidRPr="00207041" w:rsidRDefault="00502AFA" w:rsidP="002B1C48"/>
        </w:tc>
        <w:tc>
          <w:tcPr>
            <w:tcW w:w="975" w:type="dxa"/>
            <w:tcBorders>
              <w:top w:val="nil"/>
              <w:left w:val="single" w:sz="4" w:space="0" w:color="auto"/>
              <w:bottom w:val="single" w:sz="4" w:space="0" w:color="auto"/>
              <w:right w:val="single" w:sz="4" w:space="0" w:color="auto"/>
            </w:tcBorders>
            <w:shd w:val="clear" w:color="auto" w:fill="auto"/>
            <w:noWrap/>
            <w:vAlign w:val="bottom"/>
          </w:tcPr>
          <w:p w:rsidR="00502AFA" w:rsidRPr="00207041" w:rsidRDefault="00502AFA" w:rsidP="002B1C48">
            <w:r w:rsidRPr="00207041">
              <w:t>300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5%</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25%</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50%</w:t>
            </w:r>
          </w:p>
        </w:tc>
        <w:tc>
          <w:tcPr>
            <w:tcW w:w="648" w:type="dxa"/>
            <w:tcBorders>
              <w:top w:val="nil"/>
              <w:left w:val="nil"/>
              <w:bottom w:val="single" w:sz="4" w:space="0" w:color="auto"/>
              <w:right w:val="single" w:sz="4" w:space="0" w:color="auto"/>
            </w:tcBorders>
            <w:shd w:val="clear" w:color="auto" w:fill="auto"/>
            <w:noWrap/>
            <w:vAlign w:val="center"/>
          </w:tcPr>
          <w:p w:rsidR="00502AFA" w:rsidRPr="00207041" w:rsidRDefault="00502AFA" w:rsidP="002B1C48">
            <w:r w:rsidRPr="00207041">
              <w:t>20%</w:t>
            </w:r>
          </w:p>
        </w:tc>
      </w:tr>
    </w:tbl>
    <w:p w:rsidR="00502AFA" w:rsidRDefault="00502AFA" w:rsidP="00502AFA">
      <w:pPr>
        <w:ind w:firstLine="426"/>
      </w:pPr>
    </w:p>
    <w:p w:rsidR="00502AFA" w:rsidRPr="0045493D" w:rsidRDefault="00502AFA" w:rsidP="00502AFA">
      <w:pPr>
        <w:ind w:firstLine="426"/>
        <w:rPr>
          <w:lang w:val="ru-RU"/>
        </w:rPr>
      </w:pPr>
      <w:r w:rsidRPr="0045493D">
        <w:rPr>
          <w:lang w:val="ru-RU"/>
        </w:rPr>
        <w:t xml:space="preserve">При покупке пробной партии товар возвратить нельзя и оставшиеся елки придется хранить до следующего года, что принесет $50 убытков на каждую оставшуюся непроданной елку. </w:t>
      </w:r>
    </w:p>
    <w:p w:rsidR="00502AFA" w:rsidRPr="0045493D" w:rsidRDefault="00502AFA" w:rsidP="00502AFA">
      <w:pPr>
        <w:ind w:firstLine="426"/>
        <w:rPr>
          <w:lang w:val="ru-RU"/>
        </w:rPr>
      </w:pPr>
      <w:r w:rsidRPr="0045493D">
        <w:rPr>
          <w:lang w:val="ru-RU"/>
        </w:rPr>
        <w:t>Сам управляющий отделом полагает, что цена на елки должна составить $150, кроме варианта покупки пробной партии, где можно установить более высокую цену.</w:t>
      </w:r>
    </w:p>
    <w:p w:rsidR="00502AFA" w:rsidRPr="0045493D" w:rsidRDefault="00502AFA" w:rsidP="00502AFA">
      <w:pPr>
        <w:ind w:firstLine="426"/>
        <w:rPr>
          <w:lang w:val="ru-RU"/>
        </w:rPr>
      </w:pPr>
      <w:r w:rsidRPr="0045493D">
        <w:rPr>
          <w:lang w:val="ru-RU"/>
        </w:rPr>
        <w:t xml:space="preserve">Отдел маркетинга представил свои оценки вероятностей различного уровня спроса на новые елки при типовых затратах на рекламу. Маркетолог полагает, что при закупке пробной партии можно ограничиться рекламой внутри магазинов и у входов в них, что обойдется всего в $20 тыс. В остальных случаях придется давать рекламу в прессе и по городу, так что расходы сильно увеличатся. Он считает, также, что при предельной величине рекламного бюджета в $300 тыс. наиболее вероятен уровень спроса 20 тыс. штук и рекомендует закупить не более 20 тыс. елок. </w:t>
      </w:r>
    </w:p>
    <w:p w:rsidR="00502AFA" w:rsidRPr="0045493D" w:rsidRDefault="00502AFA" w:rsidP="00502AFA">
      <w:pPr>
        <w:numPr>
          <w:ilvl w:val="0"/>
          <w:numId w:val="18"/>
        </w:numPr>
        <w:rPr>
          <w:lang w:val="ru-RU"/>
        </w:rPr>
      </w:pPr>
      <w:r w:rsidRPr="0045493D">
        <w:rPr>
          <w:lang w:val="ru-RU"/>
        </w:rPr>
        <w:t>Оцените, какой выбор размера заказа на самом деле приводит к наибольшей ожидаемой прибыли.</w:t>
      </w:r>
    </w:p>
    <w:p w:rsidR="00502AFA" w:rsidRPr="0045493D" w:rsidRDefault="00502AFA" w:rsidP="00502AFA">
      <w:pPr>
        <w:numPr>
          <w:ilvl w:val="0"/>
          <w:numId w:val="18"/>
        </w:numPr>
        <w:rPr>
          <w:lang w:val="ru-RU"/>
        </w:rPr>
      </w:pPr>
      <w:r w:rsidRPr="0045493D">
        <w:rPr>
          <w:lang w:val="ru-RU"/>
        </w:rPr>
        <w:t>Есть мнение, что отдел товаров кратковременного спроса и так тратит слишком много денег на рекламу, поэтому им следует ограничиться суммой в $100 тыс. Следует ли в этом случае закупить 10 тыс. елок или есть лучший выбор?</w:t>
      </w:r>
    </w:p>
    <w:p w:rsidR="00502AFA" w:rsidRPr="0045493D" w:rsidRDefault="00502AFA" w:rsidP="00502AFA">
      <w:pPr>
        <w:numPr>
          <w:ilvl w:val="0"/>
          <w:numId w:val="18"/>
        </w:numPr>
        <w:rPr>
          <w:lang w:val="ru-RU"/>
        </w:rPr>
      </w:pPr>
      <w:r w:rsidRPr="0045493D">
        <w:rPr>
          <w:lang w:val="ru-RU"/>
        </w:rPr>
        <w:t>Рассчитайте, какой рекламный бюджет (20, 100, 200 или 300 тыс.) в действительности наиболее выгоден для каждого из четырех размеров заказа.</w:t>
      </w:r>
    </w:p>
    <w:p w:rsidR="00502AFA" w:rsidRDefault="00502AFA" w:rsidP="00502AFA">
      <w:pPr>
        <w:rPr>
          <w:noProof/>
          <w:lang w:val="ru-RU"/>
        </w:rPr>
      </w:pPr>
    </w:p>
    <w:p w:rsidR="00502AFA" w:rsidRPr="00232E07" w:rsidRDefault="00502AFA" w:rsidP="00502AFA">
      <w:pPr>
        <w:rPr>
          <w:noProof/>
          <w:lang w:val="ru-RU"/>
        </w:rPr>
      </w:pPr>
    </w:p>
    <w:bookmarkEnd w:id="3"/>
    <w:bookmarkEnd w:id="0"/>
    <w:bookmarkEnd w:id="1"/>
    <w:bookmarkEnd w:id="2"/>
    <w:sectPr w:rsidR="00502AFA"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502AFA"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502AFA"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51884349" wp14:editId="738A1BF6">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502AFA"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145FA168" wp14:editId="33BFE222">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502AFA"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A168"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502AFA"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502AFA"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502AFA" w:rsidP="000A78C7">
        <w:pPr>
          <w:pStyle w:val="BodyText21113"/>
          <w:tabs>
            <w:tab w:val="left" w:pos="1334"/>
            <w:tab w:val="right" w:pos="10928"/>
          </w:tabs>
          <w:ind w:right="-864"/>
          <w:jc w:val="left"/>
        </w:pPr>
        <w:r>
          <w:tab/>
        </w:r>
        <w:r>
          <w:tab/>
        </w:r>
      </w:p>
    </w:sdtContent>
  </w:sdt>
  <w:p w:rsidR="00543307" w:rsidRPr="003E3373" w:rsidRDefault="00502AFA"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502AFA"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502AFA"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502AFA"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29542AB3"/>
    <w:multiLevelType w:val="hybridMultilevel"/>
    <w:tmpl w:val="F59053BC"/>
    <w:lvl w:ilvl="0" w:tplc="04190019">
      <w:start w:val="1"/>
      <w:numFmt w:val="lowerLetter"/>
      <w:lvlText w:val="%1."/>
      <w:lvlJc w:val="left"/>
      <w:pPr>
        <w:tabs>
          <w:tab w:val="num" w:pos="1137"/>
        </w:tabs>
        <w:ind w:left="1137"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7"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9"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0"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1"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1"/>
  </w:num>
  <w:num w:numId="4">
    <w:abstractNumId w:val="5"/>
  </w:num>
  <w:num w:numId="5">
    <w:abstractNumId w:val="17"/>
  </w:num>
  <w:num w:numId="6">
    <w:abstractNumId w:val="1"/>
  </w:num>
  <w:num w:numId="7">
    <w:abstractNumId w:val="4"/>
  </w:num>
  <w:num w:numId="8">
    <w:abstractNumId w:val="16"/>
  </w:num>
  <w:num w:numId="9">
    <w:abstractNumId w:val="3"/>
  </w:num>
  <w:num w:numId="10">
    <w:abstractNumId w:val="10"/>
  </w:num>
  <w:num w:numId="11">
    <w:abstractNumId w:val="14"/>
  </w:num>
  <w:num w:numId="12">
    <w:abstractNumId w:val="0"/>
  </w:num>
  <w:num w:numId="13">
    <w:abstractNumId w:val="12"/>
  </w:num>
  <w:num w:numId="14">
    <w:abstractNumId w:val="13"/>
  </w:num>
  <w:num w:numId="16">
    <w:abstractNumId w:val="9"/>
  </w:num>
  <w:num w:numId="17">
    <w:abstractNumId w:val="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FA"/>
    <w:rsid w:val="002B2C1B"/>
    <w:rsid w:val="00502AFA"/>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A9AC-B279-4FA5-994E-A002867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2AFA"/>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502AFA"/>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502AFA"/>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502AFA"/>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502AFA"/>
    <w:pPr>
      <w:spacing w:before="200" w:after="80"/>
      <w:outlineLvl w:val="4"/>
    </w:pPr>
    <w:rPr>
      <w:rFonts w:ascii="Cambria" w:hAnsi="Cambria" w:cs="Cambria"/>
      <w:color w:val="4F81BD"/>
    </w:rPr>
  </w:style>
  <w:style w:type="paragraph" w:styleId="6">
    <w:name w:val="heading 6"/>
    <w:basedOn w:val="a0"/>
    <w:next w:val="a0"/>
    <w:link w:val="60"/>
    <w:qFormat/>
    <w:rsid w:val="00502AFA"/>
    <w:pPr>
      <w:spacing w:before="280" w:after="100"/>
      <w:outlineLvl w:val="5"/>
    </w:pPr>
    <w:rPr>
      <w:rFonts w:ascii="Cambria" w:hAnsi="Cambria" w:cs="Cambria"/>
      <w:i/>
      <w:iCs/>
      <w:color w:val="4F81BD"/>
    </w:rPr>
  </w:style>
  <w:style w:type="paragraph" w:styleId="7">
    <w:name w:val="heading 7"/>
    <w:basedOn w:val="a0"/>
    <w:next w:val="a0"/>
    <w:link w:val="70"/>
    <w:qFormat/>
    <w:rsid w:val="00502AFA"/>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502AFA"/>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502AFA"/>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502AFA"/>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502AFA"/>
    <w:rPr>
      <w:rFonts w:ascii="Cambria" w:eastAsia="Times New Roman" w:hAnsi="Cambria" w:cs="Cambria"/>
      <w:color w:val="365F91"/>
      <w:sz w:val="24"/>
      <w:szCs w:val="24"/>
      <w:lang w:val="en-US"/>
    </w:rPr>
  </w:style>
  <w:style w:type="character" w:customStyle="1" w:styleId="40">
    <w:name w:val="Заголовок 4 Знак"/>
    <w:basedOn w:val="a1"/>
    <w:link w:val="4"/>
    <w:rsid w:val="00502AFA"/>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502AFA"/>
    <w:rPr>
      <w:rFonts w:ascii="Cambria" w:eastAsia="Times New Roman" w:hAnsi="Cambria" w:cs="Cambria"/>
      <w:color w:val="4F81BD"/>
      <w:lang w:val="en-US"/>
    </w:rPr>
  </w:style>
  <w:style w:type="character" w:customStyle="1" w:styleId="60">
    <w:name w:val="Заголовок 6 Знак"/>
    <w:basedOn w:val="a1"/>
    <w:link w:val="6"/>
    <w:rsid w:val="00502AFA"/>
    <w:rPr>
      <w:rFonts w:ascii="Cambria" w:eastAsia="Times New Roman" w:hAnsi="Cambria" w:cs="Cambria"/>
      <w:i/>
      <w:iCs/>
      <w:color w:val="4F81BD"/>
      <w:lang w:val="en-US"/>
    </w:rPr>
  </w:style>
  <w:style w:type="character" w:customStyle="1" w:styleId="70">
    <w:name w:val="Заголовок 7 Знак"/>
    <w:basedOn w:val="a1"/>
    <w:link w:val="7"/>
    <w:rsid w:val="00502AFA"/>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502AFA"/>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502AFA"/>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502AFA"/>
    <w:rPr>
      <w:rFonts w:ascii="Cambria" w:eastAsia="Times New Roman" w:hAnsi="Cambria" w:cs="Cambria"/>
      <w:color w:val="4F81BD"/>
      <w:sz w:val="24"/>
      <w:szCs w:val="24"/>
      <w:lang w:val="en-US"/>
    </w:rPr>
  </w:style>
  <w:style w:type="paragraph" w:styleId="a4">
    <w:name w:val="Balloon Text"/>
    <w:basedOn w:val="a0"/>
    <w:link w:val="a5"/>
    <w:semiHidden/>
    <w:rsid w:val="00502AFA"/>
    <w:rPr>
      <w:rFonts w:ascii="Tahoma" w:hAnsi="Tahoma" w:cs="Tahoma"/>
      <w:sz w:val="16"/>
      <w:szCs w:val="16"/>
    </w:rPr>
  </w:style>
  <w:style w:type="character" w:customStyle="1" w:styleId="a5">
    <w:name w:val="Текст выноски Знак"/>
    <w:basedOn w:val="a1"/>
    <w:link w:val="a4"/>
    <w:semiHidden/>
    <w:rsid w:val="00502AFA"/>
    <w:rPr>
      <w:rFonts w:ascii="Tahoma" w:eastAsia="Times New Roman" w:hAnsi="Tahoma" w:cs="Tahoma"/>
      <w:sz w:val="16"/>
      <w:szCs w:val="16"/>
      <w:lang w:val="en-US"/>
    </w:rPr>
  </w:style>
  <w:style w:type="paragraph" w:customStyle="1" w:styleId="VSEListabc">
    <w:name w:val="VSE_List_abc"/>
    <w:basedOn w:val="a0"/>
    <w:rsid w:val="00502AFA"/>
    <w:pPr>
      <w:numPr>
        <w:numId w:val="10"/>
      </w:numPr>
    </w:pPr>
  </w:style>
  <w:style w:type="paragraph" w:styleId="a6">
    <w:name w:val="Block Text"/>
    <w:basedOn w:val="a0"/>
    <w:rsid w:val="00502AFA"/>
    <w:pPr>
      <w:widowControl w:val="0"/>
      <w:spacing w:line="240" w:lineRule="atLeast"/>
      <w:ind w:left="25" w:right="25"/>
    </w:pPr>
  </w:style>
  <w:style w:type="paragraph" w:customStyle="1" w:styleId="FR5">
    <w:name w:val="FR5"/>
    <w:rsid w:val="00502AFA"/>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502AFA"/>
    <w:pPr>
      <w:tabs>
        <w:tab w:val="center" w:pos="4677"/>
        <w:tab w:val="right" w:pos="9355"/>
      </w:tabs>
    </w:pPr>
  </w:style>
  <w:style w:type="character" w:customStyle="1" w:styleId="a8">
    <w:name w:val="Верхний колонтитул Знак"/>
    <w:basedOn w:val="a1"/>
    <w:link w:val="a7"/>
    <w:rsid w:val="00502AFA"/>
    <w:rPr>
      <w:rFonts w:ascii="Calibri" w:eastAsia="Times New Roman" w:hAnsi="Calibri" w:cs="Calibri"/>
      <w:lang w:val="en-US"/>
    </w:rPr>
  </w:style>
  <w:style w:type="character" w:styleId="a9">
    <w:name w:val="page number"/>
    <w:rsid w:val="00502AFA"/>
    <w:rPr>
      <w:rFonts w:cs="Times New Roman"/>
    </w:rPr>
  </w:style>
  <w:style w:type="paragraph" w:styleId="aa">
    <w:name w:val="footer"/>
    <w:basedOn w:val="a0"/>
    <w:link w:val="ab"/>
    <w:rsid w:val="00502AFA"/>
    <w:pPr>
      <w:tabs>
        <w:tab w:val="center" w:pos="4677"/>
        <w:tab w:val="right" w:pos="9355"/>
      </w:tabs>
    </w:pPr>
  </w:style>
  <w:style w:type="character" w:customStyle="1" w:styleId="ab">
    <w:name w:val="Нижний колонтитул Знак"/>
    <w:basedOn w:val="a1"/>
    <w:link w:val="aa"/>
    <w:rsid w:val="00502AFA"/>
    <w:rPr>
      <w:rFonts w:ascii="Calibri" w:eastAsia="Times New Roman" w:hAnsi="Calibri" w:cs="Calibri"/>
      <w:lang w:val="en-US"/>
    </w:rPr>
  </w:style>
  <w:style w:type="paragraph" w:styleId="ac">
    <w:name w:val="Document Map"/>
    <w:basedOn w:val="a0"/>
    <w:link w:val="ad"/>
    <w:semiHidden/>
    <w:rsid w:val="00502AFA"/>
    <w:pPr>
      <w:shd w:val="clear" w:color="auto" w:fill="000080"/>
    </w:pPr>
    <w:rPr>
      <w:rFonts w:ascii="Tahoma" w:hAnsi="Tahoma" w:cs="Tahoma"/>
    </w:rPr>
  </w:style>
  <w:style w:type="character" w:customStyle="1" w:styleId="ad">
    <w:name w:val="Схема документа Знак"/>
    <w:basedOn w:val="a1"/>
    <w:link w:val="ac"/>
    <w:semiHidden/>
    <w:rsid w:val="00502AFA"/>
    <w:rPr>
      <w:rFonts w:ascii="Tahoma" w:eastAsia="Times New Roman" w:hAnsi="Tahoma" w:cs="Tahoma"/>
      <w:shd w:val="clear" w:color="auto" w:fill="000080"/>
      <w:lang w:val="en-US"/>
    </w:rPr>
  </w:style>
  <w:style w:type="paragraph" w:customStyle="1" w:styleId="xl24">
    <w:name w:val="xl24"/>
    <w:basedOn w:val="a0"/>
    <w:rsid w:val="00502A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502AFA"/>
    <w:pPr>
      <w:framePr w:wrap="auto" w:vAnchor="text" w:hAnchor="text" w:y="1"/>
      <w:spacing w:before="100" w:beforeAutospacing="1" w:after="100" w:afterAutospacing="1"/>
    </w:pPr>
    <w:rPr>
      <w:rFonts w:eastAsia="Arial Unicode MS"/>
    </w:rPr>
  </w:style>
  <w:style w:type="paragraph" w:customStyle="1" w:styleId="xl26">
    <w:name w:val="xl26"/>
    <w:basedOn w:val="a0"/>
    <w:rsid w:val="00502AFA"/>
    <w:pPr>
      <w:spacing w:before="100" w:beforeAutospacing="1" w:after="100" w:afterAutospacing="1"/>
      <w:jc w:val="center"/>
    </w:pPr>
    <w:rPr>
      <w:rFonts w:eastAsia="Arial Unicode MS"/>
    </w:rPr>
  </w:style>
  <w:style w:type="table" w:styleId="ae">
    <w:name w:val="Table Grid"/>
    <w:basedOn w:val="a2"/>
    <w:rsid w:val="00502AF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502AFA"/>
    <w:rPr>
      <w:sz w:val="20"/>
      <w:szCs w:val="20"/>
    </w:rPr>
  </w:style>
  <w:style w:type="character" w:styleId="af">
    <w:name w:val="Hyperlink"/>
    <w:uiPriority w:val="99"/>
    <w:rsid w:val="00502AFA"/>
    <w:rPr>
      <w:rFonts w:cs="Times New Roman"/>
      <w:color w:val="0000FF"/>
      <w:u w:val="single"/>
    </w:rPr>
  </w:style>
  <w:style w:type="paragraph" w:styleId="af0">
    <w:name w:val="footnote text"/>
    <w:basedOn w:val="a0"/>
    <w:link w:val="af1"/>
    <w:semiHidden/>
    <w:rsid w:val="00502AFA"/>
    <w:rPr>
      <w:sz w:val="20"/>
      <w:szCs w:val="20"/>
    </w:rPr>
  </w:style>
  <w:style w:type="character" w:customStyle="1" w:styleId="af1">
    <w:name w:val="Текст сноски Знак"/>
    <w:basedOn w:val="a1"/>
    <w:link w:val="af0"/>
    <w:semiHidden/>
    <w:rsid w:val="00502AFA"/>
    <w:rPr>
      <w:rFonts w:ascii="Calibri" w:eastAsia="Times New Roman" w:hAnsi="Calibri" w:cs="Calibri"/>
      <w:sz w:val="20"/>
      <w:szCs w:val="20"/>
      <w:lang w:val="en-US"/>
    </w:rPr>
  </w:style>
  <w:style w:type="character" w:styleId="af2">
    <w:name w:val="footnote reference"/>
    <w:semiHidden/>
    <w:rsid w:val="00502AFA"/>
    <w:rPr>
      <w:rFonts w:cs="Times New Roman"/>
      <w:vertAlign w:val="superscript"/>
    </w:rPr>
  </w:style>
  <w:style w:type="paragraph" w:styleId="af3">
    <w:name w:val="caption"/>
    <w:basedOn w:val="a0"/>
    <w:next w:val="a0"/>
    <w:qFormat/>
    <w:rsid w:val="00502AFA"/>
    <w:rPr>
      <w:b/>
      <w:bCs/>
      <w:sz w:val="18"/>
      <w:szCs w:val="18"/>
    </w:rPr>
  </w:style>
  <w:style w:type="paragraph" w:styleId="af4">
    <w:name w:val="Title"/>
    <w:basedOn w:val="a0"/>
    <w:next w:val="a0"/>
    <w:link w:val="af5"/>
    <w:qFormat/>
    <w:rsid w:val="00502AFA"/>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502AFA"/>
    <w:rPr>
      <w:rFonts w:ascii="Cambria" w:eastAsia="Times New Roman" w:hAnsi="Cambria" w:cs="Cambria"/>
      <w:i/>
      <w:iCs/>
      <w:color w:val="243F60"/>
      <w:sz w:val="60"/>
      <w:szCs w:val="60"/>
      <w:lang w:val="en-US"/>
    </w:rPr>
  </w:style>
  <w:style w:type="paragraph" w:customStyle="1" w:styleId="VSE0">
    <w:name w:val="VSE Таблица"/>
    <w:basedOn w:val="a0"/>
    <w:autoRedefine/>
    <w:rsid w:val="00502AFA"/>
    <w:pPr>
      <w:jc w:val="left"/>
    </w:pPr>
  </w:style>
  <w:style w:type="paragraph" w:customStyle="1" w:styleId="af6">
    <w:name w:val="ТаблицаЗадачника"/>
    <w:basedOn w:val="a0"/>
    <w:autoRedefine/>
    <w:rsid w:val="00502AFA"/>
    <w:pPr>
      <w:jc w:val="left"/>
    </w:pPr>
    <w:rPr>
      <w:color w:val="000000"/>
    </w:rPr>
  </w:style>
  <w:style w:type="paragraph" w:styleId="af7">
    <w:name w:val="Subtitle"/>
    <w:basedOn w:val="a0"/>
    <w:next w:val="a0"/>
    <w:link w:val="af8"/>
    <w:qFormat/>
    <w:rsid w:val="00502AFA"/>
    <w:pPr>
      <w:spacing w:before="200" w:after="900"/>
      <w:jc w:val="right"/>
    </w:pPr>
    <w:rPr>
      <w:i/>
      <w:iCs/>
      <w:sz w:val="24"/>
      <w:szCs w:val="24"/>
    </w:rPr>
  </w:style>
  <w:style w:type="character" w:customStyle="1" w:styleId="af8">
    <w:name w:val="Подзаголовок Знак"/>
    <w:basedOn w:val="a1"/>
    <w:link w:val="af7"/>
    <w:rsid w:val="00502AFA"/>
    <w:rPr>
      <w:rFonts w:ascii="Calibri" w:eastAsia="Times New Roman" w:hAnsi="Calibri" w:cs="Calibri"/>
      <w:i/>
      <w:iCs/>
      <w:sz w:val="24"/>
      <w:szCs w:val="24"/>
      <w:lang w:val="en-US"/>
    </w:rPr>
  </w:style>
  <w:style w:type="character" w:styleId="af9">
    <w:name w:val="Strong"/>
    <w:qFormat/>
    <w:rsid w:val="00502AFA"/>
    <w:rPr>
      <w:rFonts w:cs="Times New Roman"/>
      <w:b/>
      <w:bCs/>
      <w:spacing w:val="0"/>
    </w:rPr>
  </w:style>
  <w:style w:type="character" w:styleId="afa">
    <w:name w:val="Emphasis"/>
    <w:qFormat/>
    <w:rsid w:val="00502AFA"/>
    <w:rPr>
      <w:rFonts w:cs="Times New Roman"/>
      <w:b/>
      <w:bCs/>
      <w:i/>
      <w:iCs/>
      <w:color w:val="5A5A5A"/>
    </w:rPr>
  </w:style>
  <w:style w:type="paragraph" w:customStyle="1" w:styleId="12">
    <w:name w:val="Без интервала1"/>
    <w:basedOn w:val="a0"/>
    <w:link w:val="NoSpacingChar"/>
    <w:rsid w:val="00502AFA"/>
  </w:style>
  <w:style w:type="character" w:customStyle="1" w:styleId="NoSpacingChar">
    <w:name w:val="No Spacing Char"/>
    <w:link w:val="12"/>
    <w:locked/>
    <w:rsid w:val="00502AFA"/>
    <w:rPr>
      <w:rFonts w:ascii="Calibri" w:eastAsia="Times New Roman" w:hAnsi="Calibri" w:cs="Calibri"/>
      <w:lang w:val="en-US"/>
    </w:rPr>
  </w:style>
  <w:style w:type="paragraph" w:customStyle="1" w:styleId="13">
    <w:name w:val="Абзац списка1"/>
    <w:basedOn w:val="a0"/>
    <w:rsid w:val="00502AFA"/>
    <w:pPr>
      <w:ind w:left="720"/>
    </w:pPr>
  </w:style>
  <w:style w:type="paragraph" w:customStyle="1" w:styleId="21">
    <w:name w:val="Цитата 21"/>
    <w:basedOn w:val="a0"/>
    <w:next w:val="a0"/>
    <w:link w:val="QuoteChar"/>
    <w:rsid w:val="00502AFA"/>
    <w:rPr>
      <w:rFonts w:ascii="Cambria" w:hAnsi="Cambria" w:cs="Cambria"/>
      <w:i/>
      <w:iCs/>
      <w:color w:val="5A5A5A"/>
    </w:rPr>
  </w:style>
  <w:style w:type="character" w:customStyle="1" w:styleId="QuoteChar">
    <w:name w:val="Quote Char"/>
    <w:link w:val="21"/>
    <w:locked/>
    <w:rsid w:val="00502AFA"/>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502AF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502AFA"/>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502AFA"/>
    <w:rPr>
      <w:rFonts w:cs="Times New Roman"/>
      <w:i/>
      <w:iCs/>
      <w:color w:val="5A5A5A"/>
    </w:rPr>
  </w:style>
  <w:style w:type="character" w:customStyle="1" w:styleId="16">
    <w:name w:val="Сильное выделение1"/>
    <w:rsid w:val="00502AFA"/>
    <w:rPr>
      <w:rFonts w:cs="Times New Roman"/>
      <w:b/>
      <w:bCs/>
      <w:i/>
      <w:iCs/>
      <w:color w:val="4F81BD"/>
      <w:sz w:val="22"/>
      <w:szCs w:val="22"/>
    </w:rPr>
  </w:style>
  <w:style w:type="character" w:customStyle="1" w:styleId="17">
    <w:name w:val="Слабая ссылка1"/>
    <w:rsid w:val="00502AFA"/>
    <w:rPr>
      <w:rFonts w:cs="Times New Roman"/>
      <w:color w:val="auto"/>
      <w:u w:val="single" w:color="9BBB59"/>
    </w:rPr>
  </w:style>
  <w:style w:type="character" w:customStyle="1" w:styleId="18">
    <w:name w:val="Сильная ссылка1"/>
    <w:rsid w:val="00502AFA"/>
    <w:rPr>
      <w:rFonts w:cs="Times New Roman"/>
      <w:b/>
      <w:bCs/>
      <w:color w:val="auto"/>
      <w:u w:val="single" w:color="9BBB59"/>
    </w:rPr>
  </w:style>
  <w:style w:type="character" w:customStyle="1" w:styleId="19">
    <w:name w:val="Название книги1"/>
    <w:rsid w:val="00502AFA"/>
    <w:rPr>
      <w:rFonts w:ascii="Cambria" w:hAnsi="Cambria" w:cs="Cambria"/>
      <w:b/>
      <w:bCs/>
      <w:i/>
      <w:iCs/>
      <w:color w:val="auto"/>
    </w:rPr>
  </w:style>
  <w:style w:type="paragraph" w:customStyle="1" w:styleId="1a">
    <w:name w:val="Заголовок оглавления1"/>
    <w:basedOn w:val="1"/>
    <w:next w:val="a0"/>
    <w:rsid w:val="00502AFA"/>
    <w:pPr>
      <w:outlineLvl w:val="9"/>
    </w:pPr>
  </w:style>
  <w:style w:type="numbering" w:customStyle="1" w:styleId="38">
    <w:name w:val="Стиль нумерованный полужирный38"/>
    <w:rsid w:val="00502AFA"/>
    <w:pPr>
      <w:numPr>
        <w:numId w:val="6"/>
      </w:numPr>
    </w:pPr>
  </w:style>
  <w:style w:type="numbering" w:customStyle="1" w:styleId="124">
    <w:name w:val="Стиль нумерованный полужирный124"/>
    <w:rsid w:val="00502AFA"/>
    <w:pPr>
      <w:numPr>
        <w:numId w:val="9"/>
      </w:numPr>
    </w:pPr>
  </w:style>
  <w:style w:type="numbering" w:customStyle="1" w:styleId="66">
    <w:name w:val="Стиль нумерованный полужирный66"/>
    <w:rsid w:val="00502AFA"/>
    <w:pPr>
      <w:numPr>
        <w:numId w:val="7"/>
      </w:numPr>
    </w:pPr>
  </w:style>
  <w:style w:type="numbering" w:customStyle="1" w:styleId="54">
    <w:name w:val="Стиль нумерованный полужирный54"/>
    <w:rsid w:val="00502AFA"/>
    <w:pPr>
      <w:numPr>
        <w:numId w:val="4"/>
      </w:numPr>
    </w:pPr>
  </w:style>
  <w:style w:type="numbering" w:customStyle="1" w:styleId="246">
    <w:name w:val="Стиль нумерованный полужирный246"/>
    <w:rsid w:val="00502AFA"/>
    <w:pPr>
      <w:numPr>
        <w:numId w:val="2"/>
      </w:numPr>
    </w:pPr>
  </w:style>
  <w:style w:type="numbering" w:customStyle="1" w:styleId="146">
    <w:name w:val="Стиль нумерованный полужирный146"/>
    <w:rsid w:val="00502AFA"/>
    <w:pPr>
      <w:numPr>
        <w:numId w:val="1"/>
      </w:numPr>
    </w:pPr>
  </w:style>
  <w:style w:type="numbering" w:customStyle="1" w:styleId="44">
    <w:name w:val="Стиль нумерованный полужирный44"/>
    <w:rsid w:val="00502AFA"/>
    <w:pPr>
      <w:numPr>
        <w:numId w:val="3"/>
      </w:numPr>
    </w:pPr>
  </w:style>
  <w:style w:type="numbering" w:customStyle="1" w:styleId="225">
    <w:name w:val="Стиль нумерованный полужирный225"/>
    <w:rsid w:val="00502AFA"/>
    <w:pPr>
      <w:numPr>
        <w:numId w:val="14"/>
      </w:numPr>
    </w:pPr>
  </w:style>
  <w:style w:type="numbering" w:customStyle="1" w:styleId="76">
    <w:name w:val="Стиль нумерованный полужирный76"/>
    <w:rsid w:val="00502AFA"/>
    <w:pPr>
      <w:numPr>
        <w:numId w:val="8"/>
      </w:numPr>
    </w:pPr>
  </w:style>
  <w:style w:type="numbering" w:customStyle="1" w:styleId="74">
    <w:name w:val="Стиль нумерованный полужирный74"/>
    <w:rsid w:val="00502AFA"/>
    <w:pPr>
      <w:numPr>
        <w:numId w:val="5"/>
      </w:numPr>
    </w:pPr>
  </w:style>
  <w:style w:type="paragraph" w:customStyle="1" w:styleId="1b">
    <w:name w:val="Обычный1"/>
    <w:rsid w:val="00502AF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502AFA"/>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502AFA"/>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502AFA"/>
    <w:rPr>
      <w:sz w:val="16"/>
      <w:szCs w:val="16"/>
    </w:rPr>
  </w:style>
  <w:style w:type="paragraph" w:styleId="afe">
    <w:name w:val="annotation text"/>
    <w:basedOn w:val="a0"/>
    <w:link w:val="aff"/>
    <w:semiHidden/>
    <w:unhideWhenUsed/>
    <w:rsid w:val="00502AFA"/>
    <w:rPr>
      <w:sz w:val="20"/>
      <w:szCs w:val="20"/>
    </w:rPr>
  </w:style>
  <w:style w:type="character" w:customStyle="1" w:styleId="aff">
    <w:name w:val="Текст примечания Знак"/>
    <w:basedOn w:val="a1"/>
    <w:link w:val="afe"/>
    <w:semiHidden/>
    <w:rsid w:val="00502AFA"/>
    <w:rPr>
      <w:rFonts w:ascii="Calibri" w:eastAsia="Times New Roman" w:hAnsi="Calibri" w:cs="Calibri"/>
      <w:sz w:val="20"/>
      <w:szCs w:val="20"/>
      <w:lang w:val="en-US"/>
    </w:rPr>
  </w:style>
  <w:style w:type="paragraph" w:styleId="aff0">
    <w:name w:val="annotation subject"/>
    <w:basedOn w:val="afe"/>
    <w:next w:val="afe"/>
    <w:link w:val="aff1"/>
    <w:semiHidden/>
    <w:unhideWhenUsed/>
    <w:rsid w:val="00502AFA"/>
    <w:rPr>
      <w:b/>
      <w:bCs/>
    </w:rPr>
  </w:style>
  <w:style w:type="character" w:customStyle="1" w:styleId="aff1">
    <w:name w:val="Тема примечания Знак"/>
    <w:basedOn w:val="aff"/>
    <w:link w:val="aff0"/>
    <w:semiHidden/>
    <w:rsid w:val="00502AFA"/>
    <w:rPr>
      <w:rFonts w:ascii="Calibri" w:eastAsia="Times New Roman" w:hAnsi="Calibri" w:cs="Calibri"/>
      <w:b/>
      <w:bCs/>
      <w:sz w:val="20"/>
      <w:szCs w:val="20"/>
      <w:lang w:val="en-US"/>
    </w:rPr>
  </w:style>
  <w:style w:type="table" w:styleId="aff2">
    <w:name w:val="Grid Table Light"/>
    <w:basedOn w:val="a2"/>
    <w:uiPriority w:val="40"/>
    <w:rsid w:val="00502AFA"/>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502AFA"/>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502AFA"/>
    <w:pPr>
      <w:ind w:firstLine="709"/>
    </w:pPr>
    <w:rPr>
      <w:rFonts w:cs="Times New Roman"/>
      <w:sz w:val="24"/>
      <w:szCs w:val="20"/>
      <w:lang w:val="ru-RU" w:eastAsia="ru-RU"/>
    </w:rPr>
  </w:style>
  <w:style w:type="character" w:customStyle="1" w:styleId="BodyText212">
    <w:name w:val="Body Text 2 Знак12"/>
    <w:rsid w:val="00502AFA"/>
    <w:rPr>
      <w:rFonts w:cs="Times New Roman"/>
      <w:sz w:val="24"/>
      <w:lang w:val="ru-RU" w:eastAsia="ru-RU" w:bidi="ar-SA"/>
    </w:rPr>
  </w:style>
  <w:style w:type="character" w:customStyle="1" w:styleId="BodyText214">
    <w:name w:val="Body Text 2 Знак14"/>
    <w:rsid w:val="00502AFA"/>
    <w:rPr>
      <w:rFonts w:cs="Times New Roman"/>
      <w:sz w:val="24"/>
      <w:lang w:val="ru-RU" w:eastAsia="ru-RU" w:bidi="ar-SA"/>
    </w:rPr>
  </w:style>
  <w:style w:type="paragraph" w:styleId="aff3">
    <w:name w:val="TOC Heading"/>
    <w:basedOn w:val="1"/>
    <w:next w:val="a0"/>
    <w:uiPriority w:val="39"/>
    <w:unhideWhenUsed/>
    <w:qFormat/>
    <w:rsid w:val="00502AFA"/>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502AFA"/>
    <w:pPr>
      <w:spacing w:after="100"/>
      <w:ind w:left="440"/>
    </w:pPr>
  </w:style>
  <w:style w:type="paragraph" w:styleId="22">
    <w:name w:val="List 2"/>
    <w:basedOn w:val="a0"/>
    <w:rsid w:val="00502AFA"/>
    <w:pPr>
      <w:ind w:left="566" w:hanging="283"/>
    </w:pPr>
    <w:rPr>
      <w:rFonts w:ascii="Times New Roman" w:hAnsi="Times New Roman" w:cs="Times New Roman"/>
      <w:sz w:val="24"/>
      <w:szCs w:val="20"/>
      <w:lang w:val="ru-RU" w:eastAsia="ru-RU"/>
    </w:rPr>
  </w:style>
  <w:style w:type="paragraph" w:styleId="23">
    <w:name w:val="List Bullet 2"/>
    <w:basedOn w:val="a0"/>
    <w:rsid w:val="00502AFA"/>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502AFA"/>
    <w:pPr>
      <w:numPr>
        <w:numId w:val="11"/>
      </w:numPr>
    </w:pPr>
  </w:style>
  <w:style w:type="paragraph" w:styleId="a">
    <w:name w:val="List Bullet"/>
    <w:basedOn w:val="a0"/>
    <w:semiHidden/>
    <w:unhideWhenUsed/>
    <w:rsid w:val="00502AFA"/>
    <w:pPr>
      <w:numPr>
        <w:numId w:val="12"/>
      </w:numPr>
      <w:contextualSpacing/>
    </w:pPr>
  </w:style>
  <w:style w:type="character" w:styleId="aff4">
    <w:name w:val="Placeholder Text"/>
    <w:basedOn w:val="a1"/>
    <w:uiPriority w:val="99"/>
    <w:semiHidden/>
    <w:rsid w:val="00502AFA"/>
    <w:rPr>
      <w:color w:val="808080"/>
    </w:rPr>
  </w:style>
  <w:style w:type="paragraph" w:styleId="33">
    <w:name w:val="Body Text Indent 3"/>
    <w:basedOn w:val="a0"/>
    <w:link w:val="34"/>
    <w:rsid w:val="00502AFA"/>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502AFA"/>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502AFA"/>
    <w:pPr>
      <w:numPr>
        <w:numId w:val="13"/>
      </w:numPr>
    </w:pPr>
  </w:style>
  <w:style w:type="paragraph" w:customStyle="1" w:styleId="Normal12">
    <w:name w:val="Normal12"/>
    <w:rsid w:val="00502AF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502AFA"/>
    <w:pPr>
      <w:numPr>
        <w:numId w:val="16"/>
      </w:numPr>
    </w:pPr>
  </w:style>
  <w:style w:type="numbering" w:customStyle="1" w:styleId="345">
    <w:name w:val="Стиль нумерованный полужирный345"/>
    <w:basedOn w:val="a3"/>
    <w:rsid w:val="00502AFA"/>
    <w:pPr>
      <w:numPr>
        <w:numId w:val="17"/>
      </w:numPr>
    </w:pPr>
  </w:style>
  <w:style w:type="character" w:styleId="aff5">
    <w:name w:val="FollowedHyperlink"/>
    <w:basedOn w:val="a1"/>
    <w:uiPriority w:val="99"/>
    <w:semiHidden/>
    <w:unhideWhenUsed/>
    <w:rsid w:val="00502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2021-01-24T15:18:00Z</dcterms:created>
  <dcterms:modified xsi:type="dcterms:W3CDTF">2021-01-24T15:18:00Z</dcterms:modified>
</cp:coreProperties>
</file>