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05AB" w:rsidRPr="00232E07" w:rsidRDefault="004105AB" w:rsidP="004105AB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529690134"/>
      <w:bookmarkStart w:id="4" w:name="_Toc529690342"/>
      <w:bookmarkStart w:id="5" w:name="_Hlk496270979"/>
      <w:bookmarkStart w:id="6" w:name="_Toc529690151"/>
      <w:bookmarkStart w:id="7" w:name="_Toc529690359"/>
      <w:bookmarkStart w:id="8" w:name="_Toc532974350"/>
      <w:bookmarkStart w:id="9" w:name="_Toc532974960"/>
      <w:bookmarkStart w:id="10" w:name="_Toc23068503"/>
      <w:bookmarkStart w:id="11" w:name="_Toc529690159"/>
      <w:bookmarkStart w:id="12" w:name="_Toc529690367"/>
      <w:bookmarkStart w:id="13" w:name="_Toc532974330"/>
      <w:bookmarkStart w:id="14" w:name="_Toc532974941"/>
      <w:bookmarkStart w:id="15" w:name="_Toc24216218"/>
      <w:bookmarkStart w:id="16" w:name="_Toc35082360"/>
      <w:bookmarkStart w:id="17" w:name="_Toc35791650"/>
      <w:bookmarkStart w:id="18" w:name="_Toc35862970"/>
      <w:bookmarkStart w:id="19" w:name="_Toc35900606"/>
      <w:bookmarkStart w:id="20" w:name="_Toc35901164"/>
      <w:bookmarkStart w:id="21" w:name="_Toc36017072"/>
      <w:bookmarkStart w:id="22" w:name="_Ref85008721"/>
      <w:bookmarkStart w:id="23" w:name="_Toc84424510"/>
      <w:bookmarkStart w:id="24" w:name="_Toc84597480"/>
      <w:bookmarkStart w:id="25" w:name="_Toc85483413"/>
      <w:bookmarkStart w:id="26" w:name="_Toc85530309"/>
      <w:bookmarkStart w:id="27" w:name="_Toc86333728"/>
      <w:bookmarkStart w:id="28" w:name="_Toc86498801"/>
      <w:bookmarkStart w:id="29" w:name="_Toc62354327"/>
      <w:bookmarkStart w:id="30" w:name="_Hlk27146967"/>
      <w:bookmarkStart w:id="31" w:name="_Toc72963076"/>
      <w:r>
        <w:rPr>
          <w:noProof/>
          <w:lang w:val="ru-RU"/>
        </w:rPr>
        <w:t>Вариант 13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31"/>
      <w:r w:rsidRPr="00232E07"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4105AB" w:rsidRDefault="004105AB" w:rsidP="004105AB">
      <w:pPr>
        <w:rPr>
          <w:noProof/>
          <w:lang w:val="ru-RU"/>
        </w:rPr>
      </w:pPr>
    </w:p>
    <w:p w:rsidR="004105AB" w:rsidRPr="005C40DC" w:rsidRDefault="004105AB" w:rsidP="004105AB">
      <w:pPr>
        <w:rPr>
          <w:lang w:val="ru-RU"/>
        </w:rPr>
      </w:pPr>
      <w:r w:rsidRPr="005C40DC">
        <w:rPr>
          <w:lang w:val="ru-RU"/>
        </w:rPr>
        <w:t xml:space="preserve">Менеджер отдела логистики компании, управляющей магазинами Мини-Маркет, озабочен составлением плана управления запасами по группам товаров </w:t>
      </w:r>
      <w:r w:rsidRPr="00535BBF">
        <w:t>A</w:t>
      </w:r>
      <w:r w:rsidRPr="005C40DC">
        <w:rPr>
          <w:lang w:val="ru-RU"/>
        </w:rPr>
        <w:t xml:space="preserve">, </w:t>
      </w:r>
      <w:r w:rsidRPr="00535BBF">
        <w:t>B</w:t>
      </w:r>
      <w:r w:rsidRPr="005C40DC">
        <w:rPr>
          <w:lang w:val="ru-RU"/>
        </w:rPr>
        <w:t xml:space="preserve">, </w:t>
      </w:r>
      <w:r w:rsidRPr="00535BBF">
        <w:t>C</w:t>
      </w:r>
      <w:r w:rsidRPr="005C40DC">
        <w:rPr>
          <w:lang w:val="ru-RU"/>
        </w:rPr>
        <w:t xml:space="preserve">, </w:t>
      </w:r>
      <w:r w:rsidRPr="00535BBF">
        <w:t>D</w:t>
      </w:r>
      <w:r w:rsidRPr="005C40DC">
        <w:rPr>
          <w:lang w:val="ru-RU"/>
        </w:rPr>
        <w:t xml:space="preserve">, </w:t>
      </w:r>
      <w:r w:rsidRPr="00535BBF">
        <w:t>E</w:t>
      </w:r>
      <w:r w:rsidRPr="005C40DC">
        <w:rPr>
          <w:lang w:val="ru-RU"/>
        </w:rPr>
        <w:t>. Закупочная цена для этих товаров и продажи за последние 12 месяцев приведены в таблице.</w:t>
      </w:r>
    </w:p>
    <w:tbl>
      <w:tblPr>
        <w:tblW w:w="8222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99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96"/>
      </w:tblGrid>
      <w:tr w:rsidR="004105AB" w:rsidRPr="00535BBF" w:rsidTr="00E82E93">
        <w:trPr>
          <w:trHeight w:val="31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Вид то-вара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З</w:t>
            </w:r>
            <w:r w:rsidRPr="00535BBF">
              <w:t>а</w:t>
            </w:r>
            <w:r w:rsidRPr="00535BBF">
              <w:t>куп.цена</w:t>
            </w:r>
          </w:p>
        </w:tc>
        <w:tc>
          <w:tcPr>
            <w:tcW w:w="66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 xml:space="preserve">Продажи </w:t>
            </w:r>
          </w:p>
        </w:tc>
      </w:tr>
      <w:tr w:rsidR="004105AB" w:rsidRPr="00535BBF" w:rsidTr="00E82E93">
        <w:trPr>
          <w:trHeight w:val="31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/>
        </w:tc>
        <w:tc>
          <w:tcPr>
            <w:tcW w:w="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/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янв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фев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мар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апр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май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июн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июл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авг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сен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окт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ноя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дек</w:t>
            </w:r>
          </w:p>
        </w:tc>
      </w:tr>
      <w:tr w:rsidR="004105AB" w:rsidRPr="00535BBF" w:rsidTr="00E82E93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1200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435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475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547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542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488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528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534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539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493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517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450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452</w:t>
            </w:r>
          </w:p>
        </w:tc>
      </w:tr>
      <w:tr w:rsidR="004105AB" w:rsidRPr="00535BBF" w:rsidTr="00E82E93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B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230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214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156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173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197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232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266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122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161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188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245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216</w:t>
            </w:r>
          </w:p>
        </w:tc>
      </w:tr>
      <w:tr w:rsidR="004105AB" w:rsidRPr="00535BBF" w:rsidTr="00E82E93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3000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120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152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81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88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61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121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151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61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176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83</w:t>
            </w:r>
          </w:p>
        </w:tc>
      </w:tr>
      <w:tr w:rsidR="004105AB" w:rsidRPr="00535BBF" w:rsidTr="00E82E93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4000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89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94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109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49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46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42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126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45</w:t>
            </w:r>
          </w:p>
        </w:tc>
      </w:tr>
      <w:tr w:rsidR="004105AB" w:rsidRPr="00535BBF" w:rsidTr="00E82E93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861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833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1002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911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816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628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963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885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680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921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863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AB" w:rsidRPr="00535BBF" w:rsidRDefault="004105AB" w:rsidP="00E82E93">
            <w:r w:rsidRPr="00535BBF">
              <w:t>837</w:t>
            </w:r>
          </w:p>
        </w:tc>
      </w:tr>
    </w:tbl>
    <w:p w:rsidR="004105AB" w:rsidRPr="00535BBF" w:rsidRDefault="004105AB" w:rsidP="004105AB">
      <w:r w:rsidRPr="005C40DC">
        <w:rPr>
          <w:lang w:val="ru-RU"/>
        </w:rPr>
        <w:t>Кроме этих данных известно так же, что издержки хранения для его компании можно оценить в 30% в год. Издержка, связанная с восполнением запаса, для всех этих товаров с</w:t>
      </w:r>
      <w:r w:rsidRPr="005C40DC">
        <w:rPr>
          <w:lang w:val="ru-RU"/>
        </w:rPr>
        <w:t>о</w:t>
      </w:r>
      <w:r w:rsidRPr="005C40DC">
        <w:rPr>
          <w:lang w:val="ru-RU"/>
        </w:rPr>
        <w:t xml:space="preserve">ставляет 5000 руб. </w:t>
      </w:r>
      <w:r w:rsidRPr="00535BBF">
        <w:t>Время исполнения заказа равно 10 дней.</w:t>
      </w:r>
    </w:p>
    <w:p w:rsidR="004105AB" w:rsidRPr="005C40DC" w:rsidRDefault="004105AB" w:rsidP="004105AB">
      <w:pPr>
        <w:pStyle w:val="afe"/>
        <w:widowControl/>
        <w:numPr>
          <w:ilvl w:val="0"/>
          <w:numId w:val="26"/>
        </w:numPr>
        <w:rPr>
          <w:lang w:val="ru-RU"/>
        </w:rPr>
      </w:pPr>
      <w:r w:rsidRPr="005C40DC">
        <w:rPr>
          <w:lang w:val="ru-RU"/>
        </w:rPr>
        <w:t>Рассчитайте оптимальныйсредний уровень запаса для каждого товара и время ме</w:t>
      </w:r>
      <w:r w:rsidRPr="005C40DC">
        <w:rPr>
          <w:lang w:val="ru-RU"/>
        </w:rPr>
        <w:t>ж</w:t>
      </w:r>
      <w:r w:rsidRPr="005C40DC">
        <w:rPr>
          <w:lang w:val="ru-RU"/>
        </w:rPr>
        <w:t>ду заказами.</w:t>
      </w:r>
    </w:p>
    <w:p w:rsidR="004105AB" w:rsidRPr="005C40DC" w:rsidRDefault="004105AB" w:rsidP="004105AB">
      <w:pPr>
        <w:pStyle w:val="afe"/>
        <w:widowControl/>
        <w:numPr>
          <w:ilvl w:val="0"/>
          <w:numId w:val="26"/>
        </w:numPr>
        <w:rPr>
          <w:lang w:val="ru-RU"/>
        </w:rPr>
      </w:pPr>
      <w:r w:rsidRPr="005C40DC">
        <w:rPr>
          <w:lang w:val="ru-RU"/>
        </w:rPr>
        <w:t>Все эти товары доставляются из одного города, так что есть возможность доста</w:t>
      </w:r>
      <w:r w:rsidRPr="005C40DC">
        <w:rPr>
          <w:lang w:val="ru-RU"/>
        </w:rPr>
        <w:t>в</w:t>
      </w:r>
      <w:r w:rsidRPr="005C40DC">
        <w:rPr>
          <w:lang w:val="ru-RU"/>
        </w:rPr>
        <w:t>лять их на склад компании одной поставкой. При этом издержка заказа для всех видов товара, поставляемых вместе, останется той же самой – 5000 руб. Рассчита</w:t>
      </w:r>
      <w:r w:rsidRPr="005C40DC">
        <w:rPr>
          <w:lang w:val="ru-RU"/>
        </w:rPr>
        <w:t>й</w:t>
      </w:r>
      <w:r w:rsidRPr="005C40DC">
        <w:rPr>
          <w:lang w:val="ru-RU"/>
        </w:rPr>
        <w:t>те оптимальную частоту заказов для всей группы товаров. Как изменятся сумма</w:t>
      </w:r>
      <w:r w:rsidRPr="005C40DC">
        <w:rPr>
          <w:lang w:val="ru-RU"/>
        </w:rPr>
        <w:t>р</w:t>
      </w:r>
      <w:r w:rsidRPr="005C40DC">
        <w:rPr>
          <w:lang w:val="ru-RU"/>
        </w:rPr>
        <w:t>ные издержки хранения и заказа в расчете на год при замене индивидуальных пл</w:t>
      </w:r>
      <w:r w:rsidRPr="005C40DC">
        <w:rPr>
          <w:lang w:val="ru-RU"/>
        </w:rPr>
        <w:t>а</w:t>
      </w:r>
      <w:r w:rsidRPr="005C40DC">
        <w:rPr>
          <w:lang w:val="ru-RU"/>
        </w:rPr>
        <w:t>нов заказов на групповую систему заказов?</w:t>
      </w:r>
    </w:p>
    <w:p w:rsidR="004105AB" w:rsidRPr="005C40DC" w:rsidRDefault="004105AB" w:rsidP="004105AB">
      <w:pPr>
        <w:pStyle w:val="afe"/>
        <w:widowControl/>
        <w:numPr>
          <w:ilvl w:val="0"/>
          <w:numId w:val="26"/>
        </w:numPr>
        <w:rPr>
          <w:lang w:val="ru-RU"/>
        </w:rPr>
      </w:pPr>
      <w:r w:rsidRPr="005C40DC">
        <w:rPr>
          <w:lang w:val="ru-RU"/>
        </w:rPr>
        <w:t>Так как спрос на товары довольно сильно варьирует, менеджер имеет здравую мысль о создании резервных запасов для каждого товара. По согласованию с рук</w:t>
      </w:r>
      <w:r w:rsidRPr="005C40DC">
        <w:rPr>
          <w:lang w:val="ru-RU"/>
        </w:rPr>
        <w:t>о</w:t>
      </w:r>
      <w:r w:rsidRPr="005C40DC">
        <w:rPr>
          <w:lang w:val="ru-RU"/>
        </w:rPr>
        <w:t>водством решено установить разные значения риска дефицита для товаров, да</w:t>
      </w:r>
      <w:r w:rsidRPr="005C40DC">
        <w:rPr>
          <w:lang w:val="ru-RU"/>
        </w:rPr>
        <w:t>ю</w:t>
      </w:r>
      <w:r w:rsidRPr="005C40DC">
        <w:rPr>
          <w:lang w:val="ru-RU"/>
        </w:rPr>
        <w:t>щих разный вклад в валовую прибыль. Для двух наиболее существенных позиций уст</w:t>
      </w:r>
      <w:r w:rsidRPr="005C40DC">
        <w:rPr>
          <w:lang w:val="ru-RU"/>
        </w:rPr>
        <w:t>а</w:t>
      </w:r>
      <w:r w:rsidRPr="005C40DC">
        <w:rPr>
          <w:lang w:val="ru-RU"/>
        </w:rPr>
        <w:t xml:space="preserve">новлено значение риска дефицита 1%, для позиции, дающей самый маленький вклад – 10%, а для двух остальных – 5%. </w:t>
      </w:r>
    </w:p>
    <w:p w:rsidR="004105AB" w:rsidRPr="00535BBF" w:rsidRDefault="004105AB" w:rsidP="004105AB">
      <w:pPr>
        <w:pStyle w:val="afe"/>
        <w:widowControl/>
        <w:numPr>
          <w:ilvl w:val="0"/>
          <w:numId w:val="26"/>
        </w:numPr>
      </w:pPr>
      <w:r w:rsidRPr="005C40DC">
        <w:rPr>
          <w:lang w:val="ru-RU"/>
        </w:rPr>
        <w:t xml:space="preserve">Какую схему управления запасами он должен выбрать в сложившейся ситуации? В настоящее время на складе хранится 200 ед. товара </w:t>
      </w:r>
      <w:r w:rsidRPr="00535BBF">
        <w:t>A</w:t>
      </w:r>
      <w:r w:rsidRPr="005C40DC">
        <w:rPr>
          <w:lang w:val="ru-RU"/>
        </w:rPr>
        <w:t xml:space="preserve">, 120 ед. товара </w:t>
      </w:r>
      <w:r w:rsidRPr="00535BBF">
        <w:t>B</w:t>
      </w:r>
      <w:r w:rsidRPr="005C40DC">
        <w:rPr>
          <w:lang w:val="ru-RU"/>
        </w:rPr>
        <w:t xml:space="preserve">, 150 ед. – </w:t>
      </w:r>
      <w:r w:rsidRPr="00535BBF">
        <w:t>C</w:t>
      </w:r>
      <w:r w:rsidRPr="005C40DC">
        <w:rPr>
          <w:lang w:val="ru-RU"/>
        </w:rPr>
        <w:t xml:space="preserve">, 50 ед. – </w:t>
      </w:r>
      <w:r w:rsidRPr="00535BBF">
        <w:t>D</w:t>
      </w:r>
      <w:r w:rsidRPr="005C40DC">
        <w:rPr>
          <w:lang w:val="ru-RU"/>
        </w:rPr>
        <w:t xml:space="preserve"> и 200 ед. – </w:t>
      </w:r>
      <w:r w:rsidRPr="00535BBF">
        <w:t>E</w:t>
      </w:r>
      <w:r w:rsidRPr="005C40DC">
        <w:rPr>
          <w:lang w:val="ru-RU"/>
        </w:rPr>
        <w:t>. Сколько единиц товара каждого наименования следует з</w:t>
      </w:r>
      <w:r w:rsidRPr="005C40DC">
        <w:rPr>
          <w:lang w:val="ru-RU"/>
        </w:rPr>
        <w:t>а</w:t>
      </w:r>
      <w:r w:rsidRPr="005C40DC">
        <w:rPr>
          <w:lang w:val="ru-RU"/>
        </w:rPr>
        <w:t xml:space="preserve">казать, если заказ нужно оформлять сегодня? </w:t>
      </w:r>
      <w:r w:rsidRPr="00535BBF">
        <w:t>Считайте, что все дни - рабочие.</w:t>
      </w:r>
    </w:p>
    <w:p w:rsidR="004105AB" w:rsidRDefault="004105AB" w:rsidP="004105AB">
      <w:pPr>
        <w:rPr>
          <w:noProof/>
          <w:lang w:val="ru-RU"/>
        </w:rPr>
      </w:pPr>
    </w:p>
    <w:p w:rsidR="004105AB" w:rsidRPr="00232E07" w:rsidRDefault="004105AB" w:rsidP="004105AB">
      <w:pPr>
        <w:rPr>
          <w:noProof/>
          <w:lang w:val="ru-RU"/>
        </w:rPr>
      </w:pPr>
    </w:p>
    <w:bookmarkEnd w:id="30"/>
    <w:bookmarkEnd w:id="3"/>
    <w:bookmarkEnd w:id="4"/>
    <w:bookmarkEnd w:id="5"/>
    <w:bookmarkEnd w:id="6"/>
    <w:bookmarkEnd w:id="7"/>
    <w:bookmarkEnd w:id="8"/>
    <w:bookmarkEnd w:id="9"/>
    <w:bookmarkEnd w:id="10"/>
    <w:bookmarkEnd w:id="0"/>
    <w:bookmarkEnd w:id="1"/>
    <w:bookmarkEnd w:id="2"/>
    <w:sectPr w:rsidR="004105AB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4105AB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37" w:name="_Hlk62336413"/>
    <w:bookmarkStart w:id="38" w:name="_Hlk62336414"/>
    <w:bookmarkStart w:id="39" w:name="_Hlk62336853"/>
    <w:bookmarkStart w:id="40" w:name="_Hlk62336854"/>
    <w:bookmarkStart w:id="41" w:name="_Hlk62338166"/>
    <w:bookmarkStart w:id="42" w:name="_Hlk62338167"/>
    <w:bookmarkStart w:id="43" w:name="_Hlk62338551"/>
    <w:bookmarkStart w:id="44" w:name="_Hlk62338552"/>
    <w:bookmarkStart w:id="45" w:name="_Hlk62338581"/>
    <w:bookmarkStart w:id="46" w:name="_Hlk62338582"/>
    <w:bookmarkStart w:id="47" w:name="_Hlk62338687"/>
    <w:bookmarkStart w:id="48" w:name="_Hlk62338688"/>
    <w:bookmarkStart w:id="49" w:name="_Hlk62338693"/>
    <w:bookmarkStart w:id="50" w:name="_Hlk62338694"/>
    <w:bookmarkStart w:id="51" w:name="_Hlk62338700"/>
    <w:bookmarkStart w:id="52" w:name="_Hlk62338701"/>
    <w:bookmarkStart w:id="53" w:name="_Hlk62338706"/>
    <w:bookmarkStart w:id="54" w:name="_Hlk62338707"/>
    <w:bookmarkStart w:id="55" w:name="_Hlk62344989"/>
    <w:bookmarkStart w:id="56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4105AB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32" w:name="_Hlk62344956"/>
    <w:bookmarkStart w:id="33" w:name="_Hlk62344957"/>
    <w:bookmarkStart w:id="34" w:name="_Hlk62345747"/>
    <w:bookmarkStart w:id="35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0FA0F21C" wp14:editId="2C74CED3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36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4105AB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82F4667" wp14:editId="68AC9769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4105AB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82F4667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4105AB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4105AB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4105AB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A16E0" w:rsidRDefault="004105AB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ОПЕРАЦИОННЫЙ МЕНЕДЖМЕНТ.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УПРАВЛЕНИЕ ЗАПАСАМИ</w:t>
    </w:r>
  </w:p>
  <w:bookmarkEnd w:id="36"/>
  <w:p w:rsidR="00C52AEE" w:rsidRPr="00637798" w:rsidRDefault="004105AB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32"/>
    <w:bookmarkEnd w:id="33"/>
    <w:bookmarkEnd w:id="34"/>
    <w:bookmarkEnd w:id="3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314BE"/>
    <w:multiLevelType w:val="hybridMultilevel"/>
    <w:tmpl w:val="C67C1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B31D0"/>
    <w:multiLevelType w:val="hybridMultilevel"/>
    <w:tmpl w:val="81B47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057C8"/>
    <w:multiLevelType w:val="hybridMultilevel"/>
    <w:tmpl w:val="A6FED66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DC00B2"/>
    <w:multiLevelType w:val="hybridMultilevel"/>
    <w:tmpl w:val="7E98F48A"/>
    <w:lvl w:ilvl="0" w:tplc="490265E6">
      <w:start w:val="1"/>
      <w:numFmt w:val="lowerLetter"/>
      <w:pStyle w:val="2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A0432CD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3067D"/>
    <w:multiLevelType w:val="hybridMultilevel"/>
    <w:tmpl w:val="8B5A9D0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 w15:restartNumberingAfterBreak="0">
    <w:nsid w:val="247710D3"/>
    <w:multiLevelType w:val="hybridMultilevel"/>
    <w:tmpl w:val="5310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A7898"/>
    <w:multiLevelType w:val="hybridMultilevel"/>
    <w:tmpl w:val="65F4E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AA46D54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D4EAD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C18E9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5DF1FDD"/>
    <w:multiLevelType w:val="hybridMultilevel"/>
    <w:tmpl w:val="351497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2456C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D2507B"/>
    <w:multiLevelType w:val="hybridMultilevel"/>
    <w:tmpl w:val="67349D7C"/>
    <w:lvl w:ilvl="0" w:tplc="C50A8C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E7EE9"/>
    <w:multiLevelType w:val="hybridMultilevel"/>
    <w:tmpl w:val="2F96D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0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66518F"/>
    <w:multiLevelType w:val="hybridMultilevel"/>
    <w:tmpl w:val="8506B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9"/>
  </w:num>
  <w:num w:numId="5">
    <w:abstractNumId w:val="30"/>
  </w:num>
  <w:num w:numId="6">
    <w:abstractNumId w:val="1"/>
  </w:num>
  <w:num w:numId="7">
    <w:abstractNumId w:val="8"/>
  </w:num>
  <w:num w:numId="8">
    <w:abstractNumId w:val="29"/>
  </w:num>
  <w:num w:numId="9">
    <w:abstractNumId w:val="7"/>
  </w:num>
  <w:num w:numId="10">
    <w:abstractNumId w:val="18"/>
  </w:num>
  <w:num w:numId="11">
    <w:abstractNumId w:val="26"/>
  </w:num>
  <w:num w:numId="12">
    <w:abstractNumId w:val="0"/>
  </w:num>
  <w:num w:numId="13">
    <w:abstractNumId w:val="20"/>
  </w:num>
  <w:num w:numId="14">
    <w:abstractNumId w:val="23"/>
  </w:num>
  <w:num w:numId="16">
    <w:abstractNumId w:val="21"/>
  </w:num>
  <w:num w:numId="17">
    <w:abstractNumId w:val="25"/>
  </w:num>
  <w:num w:numId="18">
    <w:abstractNumId w:val="22"/>
  </w:num>
  <w:num w:numId="19">
    <w:abstractNumId w:val="10"/>
  </w:num>
  <w:num w:numId="20">
    <w:abstractNumId w:val="16"/>
  </w:num>
  <w:num w:numId="21">
    <w:abstractNumId w:val="14"/>
  </w:num>
  <w:num w:numId="22">
    <w:abstractNumId w:val="13"/>
  </w:num>
  <w:num w:numId="23">
    <w:abstractNumId w:val="3"/>
  </w:num>
  <w:num w:numId="24">
    <w:abstractNumId w:val="31"/>
  </w:num>
  <w:num w:numId="25">
    <w:abstractNumId w:val="24"/>
  </w:num>
  <w:num w:numId="26">
    <w:abstractNumId w:val="28"/>
  </w:num>
  <w:num w:numId="27">
    <w:abstractNumId w:val="2"/>
  </w:num>
  <w:num w:numId="28">
    <w:abstractNumId w:val="6"/>
  </w:num>
  <w:num w:numId="29">
    <w:abstractNumId w:val="6"/>
    <w:lvlOverride w:ilvl="0">
      <w:startOverride w:val="1"/>
    </w:lvlOverride>
  </w:num>
  <w:num w:numId="30">
    <w:abstractNumId w:val="27"/>
  </w:num>
  <w:num w:numId="31">
    <w:abstractNumId w:val="1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AB"/>
    <w:rsid w:val="002B2C1B"/>
    <w:rsid w:val="004105AB"/>
    <w:rsid w:val="00421F70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64A81-5094-4D1C-8118-814A058A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05AB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4105AB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0">
    <w:name w:val="heading 2"/>
    <w:basedOn w:val="a0"/>
    <w:next w:val="a0"/>
    <w:link w:val="2"/>
    <w:qFormat/>
    <w:rsid w:val="004105AB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4105AB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4105AB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4105AB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4105AB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4105AB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4105AB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4105AB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">
    <w:name w:val="Заголовок 2 Знак"/>
    <w:basedOn w:val="a1"/>
    <w:link w:val="20"/>
    <w:rsid w:val="004105AB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4105AB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4105AB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4105AB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4105AB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4105AB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4105AB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4105AB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4105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4105AB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4105AB"/>
    <w:pPr>
      <w:numPr>
        <w:numId w:val="10"/>
      </w:numPr>
    </w:pPr>
  </w:style>
  <w:style w:type="paragraph" w:styleId="a8">
    <w:name w:val="Block Text"/>
    <w:basedOn w:val="a0"/>
    <w:rsid w:val="004105AB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4105AB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4105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4105AB"/>
    <w:rPr>
      <w:rFonts w:ascii="Calibri" w:eastAsia="Times New Roman" w:hAnsi="Calibri" w:cs="Calibri"/>
      <w:lang w:val="en-US"/>
    </w:rPr>
  </w:style>
  <w:style w:type="character" w:styleId="ab">
    <w:name w:val="page number"/>
    <w:rsid w:val="004105AB"/>
    <w:rPr>
      <w:rFonts w:cs="Times New Roman"/>
    </w:rPr>
  </w:style>
  <w:style w:type="paragraph" w:styleId="ac">
    <w:name w:val="footer"/>
    <w:basedOn w:val="a0"/>
    <w:link w:val="ad"/>
    <w:rsid w:val="004105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4105AB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4105AB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4105AB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410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4105AB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4105AB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4105A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4105AB"/>
    <w:rPr>
      <w:sz w:val="20"/>
      <w:szCs w:val="20"/>
    </w:rPr>
  </w:style>
  <w:style w:type="character" w:styleId="af1">
    <w:name w:val="Hyperlink"/>
    <w:uiPriority w:val="99"/>
    <w:rsid w:val="004105AB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4105AB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4105AB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4105AB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4105AB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4105AB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4105AB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4105AB"/>
    <w:pPr>
      <w:jc w:val="left"/>
    </w:pPr>
  </w:style>
  <w:style w:type="paragraph" w:customStyle="1" w:styleId="af8">
    <w:name w:val="ТаблицаЗадачника"/>
    <w:basedOn w:val="a0"/>
    <w:autoRedefine/>
    <w:rsid w:val="004105AB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4105A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4105AB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4105AB"/>
    <w:rPr>
      <w:rFonts w:cs="Times New Roman"/>
      <w:b/>
      <w:bCs/>
      <w:spacing w:val="0"/>
    </w:rPr>
  </w:style>
  <w:style w:type="character" w:styleId="afc">
    <w:name w:val="Emphasis"/>
    <w:qFormat/>
    <w:rsid w:val="004105AB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4105AB"/>
  </w:style>
  <w:style w:type="character" w:customStyle="1" w:styleId="NoSpacingChar">
    <w:name w:val="No Spacing Char"/>
    <w:link w:val="12"/>
    <w:locked/>
    <w:rsid w:val="004105AB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4105AB"/>
    <w:pPr>
      <w:ind w:left="720"/>
    </w:pPr>
  </w:style>
  <w:style w:type="paragraph" w:customStyle="1" w:styleId="21">
    <w:name w:val="Цитата 21"/>
    <w:basedOn w:val="a0"/>
    <w:next w:val="a0"/>
    <w:link w:val="QuoteChar"/>
    <w:rsid w:val="004105AB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4105AB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4105A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4105AB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4105AB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4105AB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4105AB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4105AB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4105AB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4105AB"/>
    <w:pPr>
      <w:outlineLvl w:val="9"/>
    </w:pPr>
  </w:style>
  <w:style w:type="numbering" w:customStyle="1" w:styleId="38">
    <w:name w:val="Стиль нумерованный полужирный38"/>
    <w:rsid w:val="004105AB"/>
    <w:pPr>
      <w:numPr>
        <w:numId w:val="6"/>
      </w:numPr>
    </w:pPr>
  </w:style>
  <w:style w:type="numbering" w:customStyle="1" w:styleId="124">
    <w:name w:val="Стиль нумерованный полужирный124"/>
    <w:rsid w:val="004105AB"/>
    <w:pPr>
      <w:numPr>
        <w:numId w:val="9"/>
      </w:numPr>
    </w:pPr>
  </w:style>
  <w:style w:type="numbering" w:customStyle="1" w:styleId="66">
    <w:name w:val="Стиль нумерованный полужирный66"/>
    <w:rsid w:val="004105AB"/>
    <w:pPr>
      <w:numPr>
        <w:numId w:val="7"/>
      </w:numPr>
    </w:pPr>
  </w:style>
  <w:style w:type="numbering" w:customStyle="1" w:styleId="54">
    <w:name w:val="Стиль нумерованный полужирный54"/>
    <w:rsid w:val="004105AB"/>
    <w:pPr>
      <w:numPr>
        <w:numId w:val="4"/>
      </w:numPr>
    </w:pPr>
  </w:style>
  <w:style w:type="numbering" w:customStyle="1" w:styleId="246">
    <w:name w:val="Стиль нумерованный полужирный246"/>
    <w:rsid w:val="004105AB"/>
    <w:pPr>
      <w:numPr>
        <w:numId w:val="2"/>
      </w:numPr>
    </w:pPr>
  </w:style>
  <w:style w:type="numbering" w:customStyle="1" w:styleId="146">
    <w:name w:val="Стиль нумерованный полужирный146"/>
    <w:rsid w:val="004105AB"/>
    <w:pPr>
      <w:numPr>
        <w:numId w:val="1"/>
      </w:numPr>
    </w:pPr>
  </w:style>
  <w:style w:type="numbering" w:customStyle="1" w:styleId="44">
    <w:name w:val="Стиль нумерованный полужирный44"/>
    <w:rsid w:val="004105AB"/>
    <w:pPr>
      <w:numPr>
        <w:numId w:val="3"/>
      </w:numPr>
    </w:pPr>
  </w:style>
  <w:style w:type="numbering" w:customStyle="1" w:styleId="225">
    <w:name w:val="Стиль нумерованный полужирный225"/>
    <w:rsid w:val="004105AB"/>
    <w:pPr>
      <w:numPr>
        <w:numId w:val="14"/>
      </w:numPr>
    </w:pPr>
  </w:style>
  <w:style w:type="numbering" w:customStyle="1" w:styleId="76">
    <w:name w:val="Стиль нумерованный полужирный76"/>
    <w:rsid w:val="004105AB"/>
    <w:pPr>
      <w:numPr>
        <w:numId w:val="8"/>
      </w:numPr>
    </w:pPr>
  </w:style>
  <w:style w:type="numbering" w:customStyle="1" w:styleId="74">
    <w:name w:val="Стиль нумерованный полужирный74"/>
    <w:rsid w:val="004105AB"/>
    <w:pPr>
      <w:numPr>
        <w:numId w:val="5"/>
      </w:numPr>
    </w:pPr>
  </w:style>
  <w:style w:type="paragraph" w:customStyle="1" w:styleId="1b">
    <w:name w:val="Обычный1"/>
    <w:rsid w:val="004105AB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4105AB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4105AB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4105AB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4105AB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4105AB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4105AB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4105AB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4105A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4105A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4105AB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4105AB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4105AB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4105AB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4105AB"/>
    <w:pPr>
      <w:spacing w:after="100"/>
      <w:ind w:left="440"/>
    </w:pPr>
  </w:style>
  <w:style w:type="paragraph" w:styleId="22">
    <w:name w:val="List 2"/>
    <w:basedOn w:val="a0"/>
    <w:rsid w:val="004105AB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4105AB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4105AB"/>
    <w:pPr>
      <w:numPr>
        <w:numId w:val="11"/>
      </w:numPr>
    </w:pPr>
  </w:style>
  <w:style w:type="paragraph" w:styleId="a">
    <w:name w:val="List Bullet"/>
    <w:basedOn w:val="a0"/>
    <w:semiHidden/>
    <w:unhideWhenUsed/>
    <w:rsid w:val="004105AB"/>
    <w:pPr>
      <w:numPr>
        <w:numId w:val="12"/>
      </w:numPr>
      <w:contextualSpacing/>
    </w:pPr>
  </w:style>
  <w:style w:type="character" w:styleId="aff6">
    <w:name w:val="Placeholder Text"/>
    <w:basedOn w:val="a1"/>
    <w:uiPriority w:val="99"/>
    <w:semiHidden/>
    <w:rsid w:val="004105AB"/>
    <w:rPr>
      <w:color w:val="808080"/>
    </w:rPr>
  </w:style>
  <w:style w:type="paragraph" w:styleId="33">
    <w:name w:val="Body Text Indent 3"/>
    <w:basedOn w:val="a0"/>
    <w:link w:val="34"/>
    <w:rsid w:val="004105AB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4105AB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4105AB"/>
    <w:pPr>
      <w:numPr>
        <w:numId w:val="13"/>
      </w:numPr>
    </w:pPr>
  </w:style>
  <w:style w:type="paragraph" w:customStyle="1" w:styleId="Normal12">
    <w:name w:val="Normal12"/>
    <w:rsid w:val="004105AB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4105AB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4105AB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4105AB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2021-05-26T20:11:00Z</dcterms:created>
  <dcterms:modified xsi:type="dcterms:W3CDTF">2021-05-26T20:12:00Z</dcterms:modified>
</cp:coreProperties>
</file>